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ACJC/457/2009 vom 20. April 2009</w:t>
      </w:r>
    </w:p>
    <w:p>
      <w:r>
        <w:t>GE Cour de justice, 2009-04-20, FR</w:t>
      </w:r>
    </w:p>
    <w:p>
      <w:r>
        <w:rPr>
          <w:b/>
        </w:rPr>
        <w:t xml:space="preserve">Quelle: </w:t>
      </w:r>
      <w:r>
        <w:t>https://mcp.opencaselaw.ch/entscheid/ge_gerichte_ACJC_457_2009</w:t>
      </w:r>
    </w:p>
    <w:p>
      <w:r>
        <w:t>FR: GE_GERICHTE ACJC/457/2009 du 20 avril 2009</w:t>
      </w:r>
    </w:p>
    <w:p>
      <w:r>
        <w:t>IT: GE_GERICHTE ACJC/457/2009 del 20 aprile 2009</w:t>
      </w:r>
    </w:p>
    <w:p>
      <w:pPr>
        <w:pStyle w:val="Heading2"/>
      </w:pPr>
      <w:r>
        <w:t>Regeste</w:t>
      </w:r>
    </w:p>
    <w:p>
      <w:r>
        <w:t>Résumé: CONGÉ CONTRAIRE AUX RÈGLES DE LA BONNE FOI : CONDITIONS NON RÉUNIES N'est pas contraire à la bonne foi le congé donné par la bailleresse, société familiale, dans le but de relouer les locaux à un de ses actionnaires, si le motif de résiliation est authentique et sérieux.</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