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ACJC/454/2024 vom 12. April 2024</w:t>
      </w:r>
    </w:p>
    <w:p>
      <w:r>
        <w:t>GE Cour de justice, 2024-04-12, FR</w:t>
      </w:r>
    </w:p>
    <w:p>
      <w:r>
        <w:rPr>
          <w:b/>
        </w:rPr>
        <w:t xml:space="preserve">Quelle: </w:t>
      </w:r>
      <w:r>
        <w:t>https://mcp.opencaselaw.ch/entscheid/ge_gerichte_ACJC_454_2024</w:t>
      </w:r>
    </w:p>
    <w:p>
      <w:r>
        <w:t>FR: GE_GERICHTE ACJC/454/2024 du 12 avril 2024</w:t>
      </w:r>
    </w:p>
    <w:p>
      <w:r>
        <w:t>IT: GE_GERICHTE ACJC/454/2024 del 12 aprile 2024</w:t>
      </w:r>
    </w:p>
    <w:p>
      <w:pPr>
        <w:pStyle w:val="Heading2"/>
      </w:pPr>
      <w:r>
        <w:t>Erwägungen</w:t>
      </w:r>
    </w:p>
    <w:p>
      <w:r>
        <w:rPr>
          <w:b/>
        </w:rPr>
        <w:t>E. 1.1</w:t>
      </w:r>
    </w:p>
    <w:p>
      <w:r>
        <w:t>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w:t>
      </w:r>
    </w:p>
    <w:p>
      <w:r>
        <w:rPr>
          <w:b/>
        </w:rPr>
        <w:t>E. 1.2</w:t>
      </w:r>
    </w:p>
    <w:p>
      <w:r>
        <w:t>Interjeté dans le délai et selon la forme prévus par la loi,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w:t>
      </w:r>
    </w:p>
    <w:p>
      <w:r>
        <w:t>- 4/7 -</w:t>
      </w:r>
    </w:p>
    <w:p>
      <w:r>
        <w:t>C/17625/2023</w:t>
      </w:r>
    </w:p>
    <w:p>
      <w:r>
        <w:rPr>
          <w:b/>
        </w:rPr>
        <w:t>E. 1.4</w:t>
      </w:r>
    </w:p>
    <w:p>
      <w:r>
        <w:t>Les pièces nouvelles produites par la recourante sont irrecevables en application de l'art. 326 al. 1 CPC, de même que les allégués qui s'y rapportent.</w:t>
      </w:r>
    </w:p>
    <w:p>
      <w:r>
        <w:rPr>
          <w:b/>
        </w:rPr>
        <w:t>E. 2</w:t>
      </w:r>
    </w:p>
    <w:p>
      <w:r>
        <w:t>Le Tribunal a rejeté la requête de mainlevée provisoire au motif que, même à considérer que le courrier du 4 novembre 2020 signé par D______ et F______ et adressé à C______ et G______ valait reconnaissance de dette, celle-ci ne lierait que les deux signataires et non B______ SA dont les administrateurs, D______ et E______, disposaient d'une signature collective à deux. D______ et F______ avaient toujours refusé de se considérer comme liés à la recourante. La requête devait dès lors être rejetée, en l'absence d'identité entre le poursuivant et l'éventuel créancier, de même qu'entre le poursuivi et l'éventuel débiteur. Au fil d'une argumentation confuse et prolixe, la recourante fait valoir qu'elle a libellé le commandement de payer selon "la relation contractuelle réelle et correcte" et que "le reste" n'était que "manipulations afin de ne rien payer". Son lien contractuel "avait toujours été avec M. D______ père". 2.1.1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139 III 297 consid. 2.3.1; arrêt du Tribunal fédéral 5A_688/2022 du 23 novembre 2022 consid. 4.1.1). Il peut s'agir soit d'une reconnaissance de dette formelle (art. 17 CO), soit d'un ensemble de pièces dans la mesure où il en ressort les éléments nécessaires (ATF 139 III 297 précité).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116 III 72; arrêt du Tribunal fédéral 5A_1017/2017 du 12 septembre 2018 consid. 4.1.1). La mainlevée sur la base d'un contrat bilatéral doit être accordée si le débiteur ne fait pas valoir que la contre-prestation n'a pas été ou pas correctement exécutée, ou si cette affirmation est manifestement erronée, ou encore si la preuve du contraire peut être immédiatement apportée par titre. Cette preuve par titre n'est nécessaire que si le débiteur conteste avoir reçu la contre-prestation conformément au contrat (MARCHAND/HARI, Précis de droit des poursuites, 2022, n° 227).</w:t>
      </w:r>
    </w:p>
    <w:p>
      <w:r>
        <w:t>- 5/7 -</w:t>
      </w:r>
    </w:p>
    <w:p>
      <w:r>
        <w:t>C/17625/2023 Le poursuivi peut se prévaloir de tous les moyens de droit civil – exceptions ou objections – qui infirment la reconnaissance de dette (ATF 145 III 20 consid. 4.1.2 et la référence; 131 III 268 consid. 3.2). Il n'a pas à apporter la preuve absolue (ou stricte) de ses moyens libératoires, mais seulement à les rendre vraisemblables, en principe par titre (art. 254 al. 1 CPC; ATF 145 III 20 consid. 3.1.2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Le juge de la mainlevée doit vérifier d'office l'identité entre le poursuivant et le créancier, l'identité entre le poursuivi et le débiteur et l'identité entre la prétention selon la poursuite et le titre (arrêt du Tribunal fédéral 5A_236/2013 du 12 août 2013; ATF 139 III 444 consid. 4.1.1). 2.1.2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Son rôle n'est pas d'interpréter des contrats ou d'autres documents, mais d'accorder rapidement, après examen sommaire des faits et du droit, une protection provisoire au requérant dont la situation paraît claire (ACJC/658/2012 du 11 mai 2012 consid. 5.2; ACJC/1211/1999 du 25 novembre 1999 consid. 3; ABBET/VEUILLET, La mainlevée de l’opposition, 2022, n.1 ad art. 84 LP).</w:t>
      </w:r>
    </w:p>
    <w:p>
      <w:r>
        <w:rPr>
          <w:b/>
        </w:rPr>
        <w:t>E. 2.2</w:t>
      </w:r>
    </w:p>
    <w:p>
      <w:r>
        <w:t>En l'espèce, comme l'a relevé le Tribunal a bon droit, ni le nom de la recourante, ni celui de l'intimée n'apparaissent sur le courrier du 4 novembre 2020. A supposer que celui-ci constitue une reconnaissance de dette, celle-ci ne lierait pas les parties à la présente procédure. La recourante ne fournit aucun argument devant la Cour susceptible d'infirmer cette constatation. Elle relève au contraire elle-même être liée contractuellement avec D______. Il en résulte qu'il n'y a pas d'identité entre la recourante et la créancière figurant dans le titre produit, ni entre l'intimée et la débitrice figurant dans celui-ci. Le jugement querellé sera par conséquent confirmé.</w:t>
      </w:r>
    </w:p>
    <w:p>
      <w:r>
        <w:rPr>
          <w:b/>
        </w:rPr>
        <w:t>E. 3</w:t>
      </w:r>
    </w:p>
    <w:p>
      <w:r>
        <w:t>La recourante, qui succombe, sera condamnée aux frais du recours (art. 106 al. 1 CPC). Les frais judiciaires seront arrêtés à 1'125 fr. (art. 48 et 61 al. 1 OELP) et compensés avec l'avance versée par la recourante, laquelle reste acquise à l'Etat de Genève (art. 111 al. 1 CPC).</w:t>
      </w:r>
    </w:p>
    <w:p>
      <w:r>
        <w:t>- 6/7 -</w:t>
      </w:r>
    </w:p>
    <w:p>
      <w:r>
        <w:t>C/17625/2023 Les dépens dus à l'intimée seront fixés à 1'500 fr., TVA et débours compris (art. 25 et 26 al. 1 LaCC; art. 85, 89 et 90 RTFMC). * * * * *</w:t>
      </w:r>
    </w:p>
    <w:p>
      <w:r>
        <w:t>- 7/7 -</w:t>
      </w:r>
    </w:p>
    <w:p>
      <w:r>
        <w:t>C/17625/2023</w:t>
      </w:r>
    </w:p>
    <w:p>
      <w:r>
        <w:t>PAR CES MOTIFS, La Chambre civile : A la forme : Déclare recevable le recours interjeté par A______ SÀRL contre le jugement JTPI/260/2024 rendu le 8 janvier 2024 par le Tribunal de première instance dans la cause C/17625/2023-24 SML. Au fond : Rejette ce recours. Déboute les parties de toutes autres conclusions. Sur les frais : Met à la charge de A______ SARL les frais judiciaires de recours, arrêtés à 1'125 fr. et compensés avec l'avance versée, acquise à l'Etat de Genève. Condamne A______ SARL à verser 1'500 fr. de dépens de recours à B______ SA. Siégeant : Monsieur Laurent RIEBEN, président; Madame Fabienne GEISINGER-MARIETHOZ, Madame Nathalie RAPP,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