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ACJC/453/2014 vom 10. Dezember 2013</w:t>
      </w:r>
    </w:p>
    <w:p>
      <w:r>
        <w:t>GE Cour de justice, 2013-12-10, FR</w:t>
      </w:r>
    </w:p>
    <w:p>
      <w:r>
        <w:rPr>
          <w:b/>
        </w:rPr>
        <w:t xml:space="preserve">Quelle: </w:t>
      </w:r>
      <w:r>
        <w:t>https://mcp.opencaselaw.ch/entscheid/ge_gerichte_ACJC_453_2014</w:t>
      </w:r>
    </w:p>
    <w:p>
      <w:r>
        <w:t>FR: GE_GERICHTE ACJC/453/2014 du 10 décembre 2013</w:t>
      </w:r>
    </w:p>
    <w:p>
      <w:r>
        <w:t>IT: GE_GERICHTE ACJC/453/2014 del 10 dicembre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 Genève, la Chambre civile de la Cour de justice est l'instance compétente pour connaître d'un recours (art. 120 al. 1 let. a LOJ). Aux termes de l'art. 321 al. 1 et 2 CPC, le recours, écrit et motivé, doit être introduit auprès de l'instance de recours dans les 10 jours à compter de la notification de la décision motivée, pour les décisions prises en procédure sommaire (art. 251 let. a CPC).</w:t>
      </w:r>
    </w:p>
    <w:p>
      <w:r>
        <w:t>L'acte de recours a été déposé dans une boîte aux lettres de la Poste suisse avant minuit le dernier jour du délai, ce fait étant attesté par trois témoins (art. 143 al. 1 CPC; ATF 124 V 372 consid. 3b; 115 Ia 8 consid. 3a = JdT 1990 IV 118; 109 Ia 183 consid. 3a = JdT 1984 I 317; arrêts du Tribunal fédéral 5A_267/2008 du 16 octobre 2008 consid. 3.1 et 6B_397/2012 du 20 septembre 2012 consid. 1.2).</w:t>
      </w:r>
    </w:p>
    <w:p>
      <w:r>
        <w:t>- 5/13 -</w:t>
      </w:r>
    </w:p>
    <w:p>
      <w:r>
        <w:t>C/15498/2013 Interjeté dans le délai et les formes prévus par la loi, le recours est par conséquent recevable.</w:t>
      </w:r>
    </w:p>
    <w:p>
      <w:r>
        <w:rPr>
          <w:b/>
        </w:rPr>
        <w:t>E. 2.1</w:t>
      </w:r>
    </w:p>
    <w:p>
      <w:r>
        <w:t>Le for de la poursuite est au domicile du débiteur (art. 46 al. 1 LP); le juge du for de la poursuite statue sur les requêtes de mainlevée (art. 84 al. 1 LP).</w:t>
      </w:r>
    </w:p>
    <w:p>
      <w:r>
        <w:rPr>
          <w:b/>
        </w:rPr>
        <w:t>E. 2.2</w:t>
      </w:r>
    </w:p>
    <w:p>
      <w:r>
        <w:t>En l'espèce, les parties ont prévu une clause d'élection de for en faveur des tribunaux valaisans. Compte tenu du domicile de la recourante, débitrice, à Genève, les tribunaux genevois sont compétents.</w:t>
      </w:r>
    </w:p>
    <w:p>
      <w:r>
        <w:rPr>
          <w:b/>
        </w:rPr>
        <w:t>E. 3</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(arrêt du Tribunal fédéral 5P.174/2005 du 7 octobre 2005).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4.1</w:t>
      </w:r>
    </w:p>
    <w:p>
      <w:r>
        <w:t>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w:t>
      </w:r>
    </w:p>
    <w:p>
      <w:r>
        <w:t>Vu son pouvoir d'examen restreint dans le cadre du recours, la Cour ne peut pas remédier à une éventuelle atteinte au droit d'être entendu laquelle entraînerait le renvoi de la cause au Tribunal. Il y a lieu, par conséquent, d'examiner ce grief en premier lieu.</w:t>
      </w:r>
    </w:p>
    <w:p>
      <w:r>
        <w:t>- 6/13 -</w:t>
      </w:r>
    </w:p>
    <w:p>
      <w:r>
        <w:t>C/15498/2013</w:t>
      </w:r>
    </w:p>
    <w:p>
      <w:r>
        <w:rPr>
          <w:b/>
        </w:rPr>
        <w:t>E. 4.2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ordinaire (MAZAN, Commentaire bâlois, 2ème éd. 2013, n. ad art. 256 CPC). Contrevenant au droit d'être entendu, une motivation insuffisante constitue une violation du droit, que la juridiction supérieure peut librement examiner aussi bien en appel que dans le cadre d'un recours au sens des art. 319 ss CPC (TAPPY, op. cit., n. 18 ad art. 239 CPC).</w:t>
      </w:r>
    </w:p>
    <w:p>
      <w:r>
        <w:rPr>
          <w:b/>
        </w:rPr>
        <w:t>E. 4.3</w:t>
      </w:r>
    </w:p>
    <w:p>
      <w:r>
        <w:t>Dans le cas d'espèce, le Tribunal a, certes, sommairement motivé sa décision, laquelle est suffisante en procédure sommaire. Il a toutefois expliqué pour quels motifs il a retenu que le contrat de prêt constituait un titre de mainlevée provisoire et pour quelles raisons il a écarté les allégations de la recourante s'agissant de la crainte fondée et de la simulation. Implicitement, le premier juge a écarté l'exception de compensation, en prononçant la mainlevée de l'opposition. La recourante a d'ailleurs compris le raisonnement fait par le premier juge et a pu recourir contre la décision entreprise en toute connaissance de cause.</w:t>
      </w:r>
    </w:p>
    <w:p>
      <w:r>
        <w:t>- 7/13 -</w:t>
      </w:r>
    </w:p>
    <w:p>
      <w:r>
        <w:t>C/15498/2013 Par conséquent, la motivation du jugement respecte le droit d'être entendue de la recourante.</w:t>
      </w:r>
    </w:p>
    <w:p>
      <w:r>
        <w:rPr>
          <w:b/>
        </w:rPr>
        <w:t>E. 4.4</w:t>
      </w:r>
    </w:p>
    <w:p>
      <w:r>
        <w:t>Quant au grief de constatation manifestement inexacte des faits (cf. art. 320 let. b CPC), il ne peut être soulevé que si la correction du vice est susceptible d'influer sur le sort de la cause (ATF 137 I 58 consid. 4.1.2; JEANDIN, Code de procédure civile commenté, Bâle, 2011, n. 5 ad art. 5 s ad art. 320 CPC). La violation du droit (art. 320 let. a CPC)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w:t>
      </w:r>
    </w:p>
    <w:p>
      <w:r>
        <w:rPr>
          <w:b/>
        </w:rPr>
        <w:t>E. 4.5</w:t>
      </w:r>
    </w:p>
    <w:p>
      <w:r>
        <w:t>La recourante fait valoir que le premier juge a retenu que la cession de la participation de 40'000 fr. acquise par l'intimée était nécessaire sous la forme d'une vente. Or, une telle constatation ne ressort pas du jugement entrepris. En effet, la partie "en fait" de la décision retient que "les parties avait constaté durant l'été 2012 que la poursuite de cette collaboration n'était plus possible et que la cession de la participation de CHF 40'000.- acquise par B______ dans A______ SA était nécessaire". Par ailleurs, les allégations de la recourante relatives au fait que l'intimée aurait "profité de cet état de fait pour "obtenir la signature de son contrat de prêt" qui n'en est point, mais comme "commission indue et proche de l'extorsion"", ne sont pas rendues vraisemblables. Les pièces produites par la recourante émanent soit d'elle-même (ou de son conseil), et ne sont ainsi que des allégations, soit d'un contrat conclu entre elle et C______ SA. La recourante substitue ainsi sa propre appréciation des faits à celle du premier juge, laquelle ne ressort pas des pièces produites à la procédure. Par ailleurs, et comme cela sera développé sous ch. 5 infra, le juge de la mainlevée statue sur pièces et se fonde sur la vraisemblance, la preuve du moyen libératoire étant à la charge de la recourante. Contrairement à ce que soutient la recourante, le Tribunal a fait état de l'invalidation du contrat, de sorte que ce fait a été établi. Enfin, le premier juge a retenu, sans arbitraire, que les pièces versées à la procédure étaient insuffisantes pour retenir, sous l'angle de la vraisemblable, que la recourante être fondée à invalider le contrat la liant à l'intimée.</w:t>
      </w:r>
    </w:p>
    <w:p>
      <w:r>
        <w:rPr>
          <w:b/>
        </w:rPr>
        <w:t>E. 4.6</w:t>
      </w:r>
    </w:p>
    <w:p>
      <w:r>
        <w:t>Dès lors, le jugement entrepris ne comporte aucune constatation manifestement inexacte des faits.</w:t>
      </w:r>
    </w:p>
    <w:p>
      <w:r>
        <w:t>- 8/13 -</w:t>
      </w:r>
    </w:p>
    <w:p>
      <w:r>
        <w:t>C/15498/2013</w:t>
      </w:r>
    </w:p>
    <w:p>
      <w:r>
        <w:rPr>
          <w:b/>
        </w:rPr>
        <w:t>E. 5.1</w:t>
      </w:r>
    </w:p>
    <w:p>
      <w:r>
        <w:t>Le créancier dont la poursuite se fonde sur une reconnaissance de dette constatée par acte authentique ou sous seing privé peut requérir la mainlevée provisoire (art. 82 al. 1 LP).</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Lorsque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(ATF 130 III 321 consid. 3.3 p. 325; 104 Ia 408 consid. 4 p. 413; arrêts du Tribunal fédéral 5P.171/2005 du 7 octobre 2005 consid. 4.1.1; 5P.333/1998 consid. 2c).</w:t>
      </w:r>
    </w:p>
    <w:p>
      <w:r>
        <w:t>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w:t>
      </w:r>
    </w:p>
    <w:p>
      <w:r>
        <w:t>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(arrêts du Tribunal fédéral 5A_367/2007 du 15 octobre 2007 consid. 3.1 et 5P.171/2005 du 7 octobre 2005 consid. 4.1.1; GILLIERON, Commentaire de la loi fédérale sur la poursuite pour dettes et la faillite, vol. I, 1999, n. 44 ad art. 82 LP; PANCHAUD/CAPREZ, La mainlevée de l'opposition, 1980, § 69;</w:t>
      </w:r>
    </w:p>
    <w:p>
      <w:r>
        <w:t>- 9/13 -</w:t>
      </w:r>
    </w:p>
    <w:p>
      <w:r>
        <w:t>C/15498/2013 AMONN/WALTHER, Grundriss des Schuldbetreibungs- und Konkursrechts, 7ème éd., § 19 p. 130 n. 77; SCHMIDT, Commentaire romand, Poursuite et faillite, n. 27 ad art. 82 LP).</w:t>
      </w:r>
    </w:p>
    <w:p>
      <w:r>
        <w:t>L'art. 17 CO, qui traite de la reconnaissance de dette,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ATF 96 II 383 consid. 3a). Le débiteur peut de manière générale se prévaloir de toutes les objections et exceptions qui sont dirigées contre la dette reconnue (ATF 131 III 268 consid. 3.2; ATF 127 III 559 consid. 4a; 105 II 183 consid. 4a; KUT, Handkommentar zum Schweizer Privatrecht, n. 6 ad art. 17 CO; SCHWENZER, Commentaire bâlois, n. 8 ad art. 17 CO; TEVINI DU PASQUIER, Commentaire romand, n. 7 ad art. 17 CO; ENGEL, Traité des obligations en droit suisse, 2ème éd., 1997, p. 157).</w:t>
      </w:r>
    </w:p>
    <w:p>
      <w:r>
        <w:rPr>
          <w:b/>
        </w:rPr>
        <w:t>E. 5.2</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 quelques jurisprudences récentes, in JdT 2008 II 3, p. 45), ce que celui-ci doit établir en principe par titre (arrêt du Tribunal fédéral 5A_303/2013 du 24 septembre 2013 consid. 4.1).</w:t>
      </w:r>
    </w:p>
    <w:p>
      <w:r>
        <w:rPr>
          <w:b/>
        </w:rPr>
        <w:t>E. 5.3</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op. cit., p. 363).</w:t>
      </w:r>
    </w:p>
    <w:p>
      <w:r>
        <w:t>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w:t>
      </w:r>
    </w:p>
    <w:p>
      <w:r>
        <w:t>- 10/13 -</w:t>
      </w:r>
    </w:p>
    <w:p>
      <w:r>
        <w:t>C/15498/2013</w:t>
      </w:r>
    </w:p>
    <w:p>
      <w:r>
        <w:t>Aux termes de l'art. 30 al. 2 CO,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p. 366). L'expression "avantages excessifs" signifie une disproportion quantitative qui doit être évaluée selon les mêmes critères que ceux permettant de déterminer l'existence de l'usure, au sens de l'art. 157 CP (SCHMIDLIN, in Commentaire romand, Code des obligations I, 2003, n. 19 ad art. 29-30 CO). Ainsi, selon une évaluation objective, l'avantage pécuniaire obtenu doit être en disproportion évidente, sur le plan économique, avec la prestation fournie (ATF 130 IV 106 consid. 7.2 p. 109 et l'auteur cité). La constatation relative à la valeur objective d'une prestation relève du fait; en revanche, dire si les deux prestations se trouvent dans un rapport de disproportion évidente est une question de droit (arrêt du Tribunal fédéral 4C.238/2004 du 13 octobre 2005 consid. 2.2 et l'arrêt cité). Les termes "avantages excessifs" englobent aussi tout avantage inadéquat ou disproportionné par lequel celui qui menace d'invoquer un droit poursuit un but étranger à ce droit ou allant bien au-delà de son simple exercice, en violation des règles de la bonne foi (SCHMIDLIN, ibid.; le même, in Commentaire bernois, 1995, n. 56 ad art. 29/30 CO).</w:t>
      </w:r>
    </w:p>
    <w:p>
      <w:r>
        <w:t>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(arrêts du Tribunal fédéral 4A_259/200 du 5 août 2009 consid. 2.1.1; 4C.214/2006 du 19 décembre 2006 consid. 4 et l'auteur cité).</w:t>
      </w:r>
    </w:p>
    <w:p>
      <w:r>
        <w:t>Au demeurant,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(ATF 111 II 349 consid. 3; arrêts du Tribunal fédéral 4A_259/200 du 5 août 2009 consid. 2.1.2).</w:t>
      </w:r>
    </w:p>
    <w:p>
      <w:r>
        <w:t>Selon les art. 21 al. 1 et 31 al. 1 CO, la partie victime d'une lésion, d'une erreur essentielle, d'un dol ou d'une crainte fondée n'est pas obligée si elle déclare invalider le contrat dans le délai prévu par la loi. Par un tel droit formateur, la partie scelle définitivement le sort du contrat.</w:t>
      </w:r>
    </w:p>
    <w:p>
      <w:r>
        <w:rPr>
          <w:b/>
        </w:rPr>
        <w:t>E. 5.4</w:t>
      </w:r>
    </w:p>
    <w:p>
      <w:r>
        <w:t>En l'espèce, la Cour retient que le contrat de prêt, signé par les deux parties, vaut reconnaissance de dette au sens de l'art. 82 LP. La recourante ne le conteste d'ailleurs pas puisqu'elle fait valoir divers moyens libératoires. Elle soutient avoir</w:t>
      </w:r>
    </w:p>
    <w:p>
      <w:r>
        <w:t>- 11/13 -</w:t>
      </w:r>
    </w:p>
    <w:p>
      <w:r>
        <w:t>C/15498/2013 invalidé le contrat pour contrainte fondée. Elle ne rend toutefois pas vraisemblable cette affirmation En particulier, elle ne rend pas vraisemblable que l'intimée l'aurait menacée, ni qu'elle courait un danger grave et menaçant, pas plus que l'intimée aurait obtenu des avantages excessifs.</w:t>
      </w:r>
    </w:p>
    <w:p>
      <w:r>
        <w:t>C'est dès lors à bon droit que le premier juge a écarté ce moyen libératoire.</w:t>
      </w:r>
    </w:p>
    <w:p>
      <w:r>
        <w:rPr>
          <w:b/>
        </w:rPr>
        <w:t>E. 5.5</w:t>
      </w:r>
    </w:p>
    <w:p>
      <w:r>
        <w:t>En ce qui concerne la compensation (art. 120 ss CO), le débiteur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Certes, l'art. 120 al. 2 CO, aux termes duquel le débiteur peut opposer la compensation même si sa créance est contestée, signifie que le débiteur peut exercer la compensation quand bien même sa créance n'est pas "liquide", à savoir déterminée avec certitude dans son principe et son montant. Toutefois, l'effet compensatoire ne se produit que si la contestation est levée par le juge (ATF 136 III 624 consid. 4.2.3).</w:t>
      </w:r>
    </w:p>
    <w:p>
      <w:r>
        <w:t>La loi n'exige donc pas la preuve stricte du moyen libératoire, ni même des moyens de preuve déterminés. En particulier, elle n'impose pas de parallélisme des formes entre les pièces produites par le poursuivant et celles sur lesquelles le poursuivi fonde son moyen tiré de la compensation. Le juge de la mainlevée jouit d'un large pouvoir d'appréciation (arrêt du Tribunal fédéral 5A_556/2009 du 30 novembre 2009 consid. 3.2).</w:t>
      </w:r>
    </w:p>
    <w:p>
      <w:r>
        <w:rPr>
          <w:b/>
        </w:rPr>
        <w:t>E. 5.6</w:t>
      </w:r>
    </w:p>
    <w:p>
      <w:r>
        <w:t>En l'espèce, la recourante produit à l'appui de sa prétention de 713'000 fr. un courrier envoyé à l'intimée à ce sujet. Ledit courrier constituant cependant de simples allégations, elle ne peut pas se prévaloir d'une quelconque pièce étayant le montant des dommages qu'elle dit subir. Elle n'explique au demeurant pas sur quelle base ces dommages ont été estimés.</w:t>
      </w:r>
    </w:p>
    <w:p>
      <w:r>
        <w:t>La recourante n'a ainsi pas rendu vraisemblable sa libération immédiate au sens de l'art. 82 al. 2 LP.</w:t>
      </w:r>
    </w:p>
    <w:p>
      <w:r>
        <w:rPr>
          <w:b/>
        </w:rPr>
        <w:t>E. 5.7</w:t>
      </w:r>
    </w:p>
    <w:p>
      <w:r>
        <w:t>Le jugement ne prête en conséquence pas le flanc à la critique, de sorte que le recours sera rejeté.</w:t>
      </w:r>
    </w:p>
    <w:p>
      <w:r>
        <w:rPr>
          <w:b/>
        </w:rPr>
        <w:t>E. 6</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- 12/13 -</w:t>
      </w:r>
    </w:p>
    <w:p>
      <w:r>
        <w:t>C/15498/2013 Le premier juge a fixé l'émolument de première instance à 750 fr. Partant, l'émolument de la présente décision sera fixé à 1'125 fr. et mis à la charge de la recourante, partiellement compensé avec l'avance de frais de 750 fr. opérée par celle-ci, acquise à l'Etat (art. 111 al. 1 CPC). Elle sera condamnée à verser le solde, soit 375 fr. à l'Etat. La recourante sera également condamnée aux dépens de l'intimée assistée d'un conseil devant la Cour, arrêtés à 1'500 fr., débours et TVA compris (art. 96 et 105 al. 2 CPC; art. 85 et 89, 90 du règlement fixant le tarif des greffes en matières civile du 22 décembre 2010, E 1 05.10; art. 25 et 26 LaCC; art. 25 LTVA).</w:t>
      </w:r>
    </w:p>
    <w:p>
      <w:r>
        <w:rPr>
          <w:b/>
        </w:rPr>
        <w:t>E. 7</w:t>
      </w:r>
    </w:p>
    <w:p>
      <w:r>
        <w:t>La valeur litigieuse, au sens de l'art. 51 LTF, est supérieure à 30'000 fr. * * * * *</w:t>
      </w:r>
    </w:p>
    <w:p>
      <w:r>
        <w:t>- 13/13 -</w:t>
      </w:r>
    </w:p>
    <w:p>
      <w:r>
        <w:t>C/15498/2013 PAR CES MOTIFS, La Chambre civile : A la forme : Déclare recevable le recours interjeté le 26 décembre 2013 par A______ SA contre le jugement JTPI/16657/2013 rendu le 10 décembre 2013 par le Tribunal de première instance dans la cause C/15498/2013-16 SML. Au fond : Rejette ce recours. Déboute les parties de toutes autres conclusions. Sur les frais du recours : Arrête les frais judiciaires à 1'125 fr., partiellement compensés avec l'avance de frais fournie par A______ SA, acquise à l'Etat. Les met à la charge de A______ SA. Condamne A______ SA à payer 375 fr. à l'Etat, soit pour lui les Services financiers du Pouvoir judiciaire. Condamne A______ SA à verser à B______ SA 1'500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