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ACJC/449/2024 vom 8. April 2024</w:t>
      </w:r>
    </w:p>
    <w:p>
      <w:r>
        <w:t>GE Cour de justice, 2024-04-08, FR</w:t>
      </w:r>
    </w:p>
    <w:p>
      <w:r>
        <w:rPr>
          <w:b/>
        </w:rPr>
        <w:t xml:space="preserve">Quelle: </w:t>
      </w:r>
      <w:r>
        <w:t>https://mcp.opencaselaw.ch/entscheid/ge_gerichte_ACJC_449_2024</w:t>
      </w:r>
    </w:p>
    <w:p>
      <w:r>
        <w:t>FR: GE_GERICHTE ACJC/449/2024 du 8 avril 2024</w:t>
      </w:r>
    </w:p>
    <w:p>
      <w:r>
        <w:t>IT: GE_GERICHTE ACJC/449/2024 del 8 aprile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avril 2024.</w:t>
      </w:r>
    </w:p>
    <w:p>
      <w:r>
        <w:t>République et canton de Genève POUVOIR JUDICIAIRE Cour de justice civile Chambre civile</w:t>
      </w:r>
    </w:p>
    <w:p>
      <w:r>
        <w:t>Recourante : Intimé : A______ SA c/o Me CHASSOT Laurent gbf Avocats SA Route de Pré-Bois 20 Case postale 1911 1215 Genève 15 Aéroport</w:t>
      </w:r>
    </w:p>
    <w:p>
      <w:r>
        <w:t>Monsieur B______ c/o Me GAL Christophe CG Partners Rue du Rhône 100 1204 Genève</w:t>
      </w:r>
    </w:p>
    <w:p>
      <w:r>
        <w:t>C/3090/2024 ACJC/449/2024 DU VENDREDI 5 AVRIL 2024 Vu le jugement JTPI/4031/2024 du 21 mars 2024 prononçant la faillite de A______ SA (ch. 1 du dispositif); Vu le recours contre ledit jugement formé le 4 avril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JTPI/4031/2024 rendu par le Tribunal de première instance le 21 mars 2024 dans la cause C/3090/2024-10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Laurent RIEBEN,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