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ACJC/448/2023 vom 3. April 2023</w:t>
      </w:r>
    </w:p>
    <w:p>
      <w:r>
        <w:t>GE Cour de justice, 2023-04-03, FR</w:t>
      </w:r>
    </w:p>
    <w:p>
      <w:r>
        <w:rPr>
          <w:b/>
        </w:rPr>
        <w:t xml:space="preserve">Quelle: </w:t>
      </w:r>
      <w:r>
        <w:t>https://mcp.opencaselaw.ch/entscheid/ge_gerichte_ACJC_448_2023</w:t>
      </w:r>
    </w:p>
    <w:p>
      <w:r>
        <w:t>FR: GE_GERICHTE ACJC/448/2023 du 3 avril 2023</w:t>
      </w:r>
    </w:p>
    <w:p>
      <w:r>
        <w:t>IT: GE_GERICHTE ACJC/448/2023 del 3 aprile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145 al. 1 let. b et 311 al. 1 CPC), est recevable.</w:t>
      </w:r>
    </w:p>
    <w:p>
      <w:r>
        <w:rPr>
          <w:b/>
        </w:rPr>
        <w:t>E. 1.2</w:t>
      </w:r>
    </w:p>
    <w:p>
      <w:r>
        <w:t>Formé dans la réponse à l'appel (art. 313 al. 1 CPC) et dans le respect des formes énoncées ci-dessus, l'appel joint est également recevable. Par souci de simplification et pour respecter le rôle initial des parties en appel, le père sera ci-après désigné en qualité d'appelant et la mère et les enfants en qualité d'intimées.</w:t>
      </w:r>
    </w:p>
    <w:p>
      <w:r>
        <w:rPr>
          <w:b/>
        </w:rPr>
        <w:t>E. 1.3</w:t>
      </w:r>
    </w:p>
    <w:p>
      <w:r>
        <w:t>La Cour revoit la cause en fait et en droit avec un plein pouvoir d'examen (art. 310 CPC). La présente cause est ainsi soumise aux maximes d'office et inquisitoire illimitée en tant qu'elle concerne des enfant mineures (art. 296 al. 1 et 3 CPC; ATF 147 III 301 consid. 2.2). La Cour n'est donc pas liée par les conclusions des parties ni par l'interdiction de la reformatio in pejus (ATF 129 III 417 consid. 2.1.1; arrêt du Tribunal fédéral 5A_843/2018 du 12 février 2020 consid. 5.2).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t>- 13/28 -</w:t>
      </w:r>
    </w:p>
    <w:p>
      <w:r>
        <w:t>C/16332/2020</w:t>
      </w:r>
    </w:p>
    <w:p>
      <w:r>
        <w:rPr>
          <w:b/>
        </w:rPr>
        <w:t>E. 1.4</w:t>
      </w:r>
    </w:p>
    <w:p>
      <w:r>
        <w:t>Les parties ont produit des pièces nouvelles relatives aux relations personnelles et à leurs situations financières respectives.</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1.4.2</w:t>
      </w:r>
    </w:p>
    <w:p>
      <w:r>
        <w:t>Les pièces nouvelles produites en appel sont, ainsi, recevables.</w:t>
      </w:r>
    </w:p>
    <w:p>
      <w:r>
        <w:rPr>
          <w:b/>
        </w:rPr>
        <w:t>E. 1.5</w:t>
      </w:r>
    </w:p>
    <w:p>
      <w:r>
        <w:t>Les parties ont modifié leurs conclusions en appel.</w:t>
      </w:r>
    </w:p>
    <w:p>
      <w:r>
        <w:rPr>
          <w:b/>
        </w:rPr>
        <w:t>E. 1.5.1</w:t>
      </w:r>
    </w:p>
    <w:p>
      <w:r>
        <w:t>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(ACJC/1159/2020 du 14 avril 2020 consid. 4.1; ACJC/774/2018 du 14 juin 2018 consid. 5.1; ACJC/592/2017 du 19 mai 2017 consid. 4; SCHWEIGHAUSER, Kommentar zur Schweizerischen Zivilprozessordnung, 2016, n. 3 ad art. 296 CPC; JEANDIN, CR-CPC, 2019, n. 18 ad art. 296 CPC; HOHL, Procédure civile, tome II, 2010, n. 2091 et 2392).</w:t>
      </w:r>
    </w:p>
    <w:p>
      <w:r>
        <w:rPr>
          <w:b/>
        </w:rPr>
        <w:t>E. 1.5.2</w:t>
      </w:r>
    </w:p>
    <w:p>
      <w:r>
        <w:t>Les nouvelles conclusions – qui portent sur l'entretien des enfants mineures – ont été formulées avant la mise en délibération et sont soumises à la maxime d'office, de sorte qu'elles sont recevables, indépendamment de la réalisation des conditions posées par l'art. 317 al. 2 CPC.</w:t>
      </w:r>
    </w:p>
    <w:p>
      <w:r>
        <w:rPr>
          <w:b/>
        </w:rPr>
        <w:t>E. 2</w:t>
      </w:r>
    </w:p>
    <w:p>
      <w:r>
        <w:t>La cause présente un caractère international en raison de la nationalité de la mère. Les parties ne contestent, à juste titre, pas la compétence des autorités genevoises (art. 5 de la Convention de la Haye du 19 octobre 1996 sur la compétence, la loi applicable, la reconnaissance, l'exécution et la coopération en matière de</w:t>
      </w:r>
    </w:p>
    <w:p>
      <w:r>
        <w:t>- 14/28 -</w:t>
      </w:r>
    </w:p>
    <w:p>
      <w:r>
        <w:t>C/16332/2020 responsabilité parentale; art. 79 al. 1 LDIP) et l'application du droit suisse (art. 15 de la convention susvisée; art. 82 al. 1 et 83 al. 1 LDIP; art. 4 al. 1 de la Convention de La Haye du 2 octobre 1973 sur la loi applicable aux obligations alimentaires) au présent litige.</w:t>
      </w:r>
    </w:p>
    <w:p>
      <w:r>
        <w:rPr>
          <w:b/>
        </w:rPr>
        <w:t>E. 3</w:t>
      </w:r>
    </w:p>
    <w:p>
      <w:r>
        <w:t>L'appelant reproche au Tribunal de ne pas avoir instauré une garde alternée sur ses filles.</w:t>
      </w:r>
    </w:p>
    <w:p>
      <w:r>
        <w:t>Il fait valoir que la capacité de communication des parties est en l'état suffisante, que la mère, se sentant menacée par tout ce qu'il fait, a longtemps refusé de faire évoluer la place du père dans la vie des enfants, qu'elle l'a accusé d'actes de maltraitante non avérés, qu'il a tout mis en œuvre pour être présent de manière régulière dans la vie de ses filles, que les deux parents disposent de capacités parentales adéquates et que l'on ne saurait refuser l'instauration d'une garde alternée en raison du comportement belliqueux et méfiant de la mère. Il souligne qu'une telle organisation permettrait de limiter les contacts parentaux, que les domiciles des parents se trouvent à proximité immédiate et à deux pas de l'école des enfants et qu'une garde alternée permettrait de favoriser les liens entre ses trois enfants.</w:t>
      </w:r>
    </w:p>
    <w:p>
      <w:r>
        <w:t>La mère soutient, quant à elle, que les parents ne parviennent toujours pas à communiquer sereinement (elle en veut pour preuve l'incident relatif à l'autorisation de voyager de juillet 2022 et sa demande d'intervention du SCARPA), que le père fait fi des recommandations des milieux sociaux et de l'appréciation du premier juge en s'obstinant à solliciter une garde alternée et en refusant d'accepter les éléments objectifs allant à l'encontre d'une telle prise en charge, que les enfants se portent bien dans l'organisation actuelle, laquelle est en adéquation avec leurs besoins et induit le moins de contacts possibles entre les parents, et qu'une garde partagée risquerait de "redonner du souffle au conflit".</w:t>
      </w:r>
    </w:p>
    <w:p>
      <w:r>
        <w:rPr>
          <w:b/>
        </w:rPr>
        <w:t>E. 3.1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les intérêts des parents devant être relégués au second plan. Le juge</w:t>
      </w:r>
    </w:p>
    <w:p>
      <w:r>
        <w:t>- 15/28 -</w:t>
      </w:r>
    </w:p>
    <w:p>
      <w:r>
        <w:t>C/16332/2020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3.2</w:t>
      </w:r>
    </w:p>
    <w:p>
      <w:r>
        <w:t>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w:t>
      </w:r>
    </w:p>
    <w:p>
      <w:r>
        <w:t>- 16/28 -</w:t>
      </w:r>
    </w:p>
    <w:p>
      <w:r>
        <w:t>C/16332/2020 art. 190 CPC; WEIBEL/NAEGELI, Kommentar zur Schweizerischen Zivilprozess- 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w:t>
      </w:r>
    </w:p>
    <w:p>
      <w:r>
        <w:rPr>
          <w:b/>
        </w:rPr>
        <w:t>E. 3.3</w:t>
      </w:r>
    </w:p>
    <w:p>
      <w:r>
        <w:t>En l'espèce, l'appelant exerce un large droit de visite sur les mineures de manière régulière depuis de nombreux mois, de sorte qu'il existe un lien père-fille établi et stable. Les enfants passent plusieurs nuits consécutives avec leur père, respectivement la moitié des vacances scolaires. Le SEASP a considéré, en août 2021, que l'instauration d'une garde partagée semblait prématurée. Dix-huit mois se sont écoulés et l'exercice des relations personnelles s'est jusqu'à présent bien déroulé. La mère a relevé une dispute concernant le retour des enfants en octobre 2021, ses allégations de maltraitances à l'encontre du père en novembre 2021, lesquelles n'ont pas été avérées (étant relevé que le père a néanmoins admis l'inadéquation de la punition au Tabasco et n'a pas réitéré de comportements discutables) et la demande de signature d'une autorisation incomplète de voyager en été 2022, laquelle n'était en tout état pas nécessaire. Hormis ces épisodes, la mère n'a, depuis lors, plus relevé d'incident. Les reproches qu'elle formule concernant l'inexécution par le père de ses obligations d'entretien ne sont pas pertinents pour statuer sur la question des droits parentaux. Il n'est pas contesté que les parents rencontrent des difficultés à communiquer. Cela étant, il n'apparaît pas que les difficultés rencontrées ne seraient imputables qu'au père. Par ailleurs, les évènements relatés par la mère tant en première instance qu'en appel n'indiquent pas que ces difficultés seraient de nature à compromettre l'exercice d'une garde alternée. Il sied de retenir qu'en l'état, la communication parentale est suffisante, étant relevé que la limitation du passage des enfants entre les parents et la régularité qu'engendrerait une garde partagée pourraient laisser présager un apaisement des conflits, ce qui est à souhaiter dans l'intérêt des enfants.</w:t>
      </w:r>
    </w:p>
    <w:p>
      <w:r>
        <w:t>A cela s'ajoute que les deux parents disposent de compétences parentales adéquates, que le père a entrepris toutes les démarches nécessaires pour se rapprocher de ses filles et être disponible pour elles, que les parents habitent à proximité l'un de l'autre, qu'il est dans l'intérêt des enfants que le père occupe dans leur vie une place consolidée aux côtés de la mère et qu'une garde alternée serait propice aux liens fraternels entre les trois enfants de l'appelant. Le fait que les mineures aillent actuellement bien - ce qui justifierait, selon la mère, un statu quo - n'est pas un obstacle à l'instauration d'une garde alternée, rien</w:t>
      </w:r>
    </w:p>
    <w:p>
      <w:r>
        <w:t>- 17/28 -</w:t>
      </w:r>
    </w:p>
    <w:p>
      <w:r>
        <w:t>C/16332/2020 n'indiquant qu'après une période d'adaptation, cette nouvelle prise en charge serait défavorable aux mineures. Au vu de tous ces éléments, il apparaît conforme à l'intérêt de D______ et B______ d'instaurer une garde alternée. La mère n'ayant formulé aucune contestation à l'encontre de la modalité proposée par le père, cette mesure devra être exercée d'entente entre les parents et, à défaut, à raison d'une semaine sur deux avec passage de l'enfant les lundis matin lors de la dépose des enfants à l'école et de la moitié des vacances scolaires chez chacun des parents.</w:t>
      </w:r>
    </w:p>
    <w:p>
      <w:r>
        <w:rPr>
          <w:b/>
        </w:rPr>
        <w:t>E. 3.4</w:t>
      </w:r>
    </w:p>
    <w:p>
      <w:r>
        <w:t>Par conséquent, le chiffre 1 du dispositif du jugement entrepris sera annulé et il sera statué dans le sens de ce qui précède. Les chiffres 2 et 4 à 6 du dispositif de la décision attaquée seront également annulés, la règlementation du droit de visite et le maintien de la curatelle d'organisation et de surveillance des relations personnelles n'ayant plus d'objet. Sera, en revanche, confirmé le chiffre 3 dudit dispositif qui répartit les vacances scolaires par moitié entre les parents et qui n'a pas été remis en cause. L'intérêt des enfants commande de souligner l'importance que les parents favorisent une bonne communication et coopération parentales. A cette fin, ils seront exhortés à poursuivre le travail de coparentalité.</w:t>
      </w:r>
    </w:p>
    <w:p>
      <w:r>
        <w:rPr>
          <w:b/>
        </w:rPr>
        <w:t>E. 4</w:t>
      </w:r>
    </w:p>
    <w:p>
      <w:r>
        <w:t>Compte tenu de la garde partagée instaurée, se pose la question du domicile légal des enfants.</w:t>
      </w:r>
    </w:p>
    <w:p>
      <w:r>
        <w:rPr>
          <w:b/>
        </w:rPr>
        <w:t>E. 4.1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w:t>
      </w:r>
    </w:p>
    <w:p>
      <w:r>
        <w:t>- 18/28 -</w:t>
      </w:r>
    </w:p>
    <w:p>
      <w:r>
        <w:t>C/16332/2020</w:t>
      </w:r>
    </w:p>
    <w:p>
      <w:r>
        <w:rPr>
          <w:b/>
        </w:rPr>
        <w:t>E. 4.2</w:t>
      </w:r>
    </w:p>
    <w:p>
      <w:r>
        <w:t>En l'occurrence, la mère ayant jusqu'à présent pris en charge de manière prépondérante les mineures, il se justifie de fixer le domicile légal des enfants chez celle-ci.</w:t>
      </w:r>
    </w:p>
    <w:p>
      <w:r>
        <w:rPr>
          <w:b/>
        </w:rPr>
        <w:t>E. 5</w:t>
      </w:r>
    </w:p>
    <w:p>
      <w:r>
        <w:t>L'appelant remet en cause le montant des contributions à l'entretien des enfants fixées par le Tribunal, ainsi que le dies a quo.</w:t>
      </w:r>
    </w:p>
    <w:p>
      <w:r>
        <w:t>Le père fait valoir que sa situation financière a été mal évaluée. Il reproche également au premier juge d'avoir augmenté les contributions d'entretien fixées sur mesures provisionnelles avec effet rétroactif au 16 février 2020 sans avoir motivé sa décision sur ces points. Il soutient que cette date correspond à un délai d'une année précédant le dépôt par les parties adverses de l'action à laquelle elles ont renoncé lors de l'audience du 9 juin 2021. Faute de jonction des causes, il ne pouvait être fait application de l'art. 279 al. 1 CC au plus tôt qu'à la date du 21 mai 2020 en l'absence de tout motif justifiant une rétroactivité à une date antérieure. Toutefois, les nouvelles contributions ayant été fixées en tenant compte de sa situation financière dès le 1er mai 2022, elle ne pouvait rétroagir à une date antérieure.</w:t>
      </w:r>
    </w:p>
    <w:p>
      <w:r>
        <w:t>Si la mère "conçoit" qu'il lui appartient de retrouver un emploi à 50% vu la récente scolarisation de sa fille cadette, elle estime qu'un délai raisonnable jusqu'au 31 octobre 2023 aurait dû lui être octroyé pour ce faire et que le revenu hypothétique qui lui a été imputé est irréalisable. Dirigeant actuellement ses recherches vers des activités de services administratifs et de soutien, ne disposant toutefois pas d'expérience dans ce domaine et n'ayant pas travaillé depuis 10 ans, elle espère réaliser un salaire net de 2'130 fr. à 50% en se fondant sur le calculateur national des salaires, correspondant de surcroît à son ancien salaire. Les enfants auraient ainsi droit à la couverture de leurs charges et de son propre déficit, ainsi que, dès le 1er novembre 2023, à une part de l'excédent de 500 fr. par tête.</w:t>
      </w:r>
    </w:p>
    <w:p>
      <w:r>
        <w:rPr>
          <w:b/>
        </w:rPr>
        <w:t>E. 5.1</w:t>
      </w:r>
    </w:p>
    <w:p>
      <w:r>
        <w:t>A teneur de l'art. 276 al. 1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Elle</w:t>
      </w:r>
    </w:p>
    <w:p>
      <w:r>
        <w:t>- 19/28 -</w:t>
      </w:r>
    </w:p>
    <w:p>
      <w:r>
        <w:t>C/16332/2020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w:t>
      </w:r>
    </w:p>
    <w:p>
      <w:r>
        <w:rPr>
          <w:b/>
        </w:rPr>
        <w:t>E. 5.2</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w:t>
      </w:r>
    </w:p>
    <w:p>
      <w:r>
        <w:t>- 20/28 -</w:t>
      </w:r>
    </w:p>
    <w:p>
      <w:r>
        <w:t>C/16332/2020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En cas de garde alternée, la répartition entre les parents de la charge financière de l'enfant intervient en proportion de leurs capacités contributives respectives (ATF 147 III 265 consid. 5.5).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w:t>
      </w:r>
    </w:p>
    <w:p>
      <w:r>
        <w:rPr>
          <w:b/>
        </w:rPr>
        <w:t>E. 5.3</w:t>
      </w:r>
    </w:p>
    <w:p>
      <w:r>
        <w:t>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w:t>
      </w:r>
    </w:p>
    <w:p>
      <w:r>
        <w:rPr>
          <w:b/>
        </w:rPr>
        <w:t>E. 5.4</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Tribunal fédéral a considéré dans un arrêt 5A_200/2019 du 29 janvier 2020 qu'en cas d'instauration d'une garde alternée en faveur des parents, une participation de l'un à une part du loyer de l'autre ne se justifie plus, de sorte que la prise en compte dans les charges de l'enfant d'une participation de celui-ci au loyer des parents est exclue (consid. 4). Dans un arrêt postérieur, consécutif aux</w:t>
      </w:r>
    </w:p>
    <w:p>
      <w:r>
        <w:t>- 21/28 -</w:t>
      </w:r>
    </w:p>
    <w:p>
      <w:r>
        <w:t>C/16332/2020 arrêts posant une méthode uniforme pour calculer les contributions d'entretien, le Tribunal fédéral a toutefois considéré que les parents ont également droit à une participation de l'enfant pour leur loyer et qu'il y a ainsi lieu d'inclure dans le budget des enfants une part de loyer (arrêt du Tribunal fédéral 5A_952/2019 du 2 décembre 2020 consid. 6.3.1; cf. dans le même sens BURGAT, in Entretien de l'enfant, des précisions bienvenues: une méthode (presque) complète et obligatoire pour toute la Suisse; analyse de l'arrêt du Tribunal fédéral 5A_311/2019, Newsletter DroitMatrimonial.ch janvier 2021, p. 15). Les allocations familiales doivent par ailleurs être retranchées du coût de l'enfant (arrêt du Tribunal fédéral 5A_743/2017 du 22 mai 2019 consid. 5.2.3).</w:t>
      </w:r>
    </w:p>
    <w:p>
      <w:r>
        <w:rPr>
          <w:b/>
        </w:rPr>
        <w:t>E. 5.5</w:t>
      </w:r>
    </w:p>
    <w:p>
      <w:r>
        <w:t>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subside de l'assurance-maladie ne constitue pas de l'aide sociale (ACJC/172/2019 du 5 février 2019 consid. 2.2).</w:t>
      </w:r>
    </w:p>
    <w:p>
      <w:r>
        <w:rPr>
          <w:b/>
        </w:rPr>
        <w:t>E. 5.6</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 du Tribunal fédéral 5A_734/2020 du 13 juillet 2021 consid. 3.1).</w:t>
      </w:r>
    </w:p>
    <w:p>
      <w:r>
        <w:t>- 22/28 -</w:t>
      </w:r>
    </w:p>
    <w:p>
      <w:r>
        <w:t>C/16332/2020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1er novembre 2018 consid. 3.1.2). Lorsque la prise en charge d'un enfant est assumée par les deux parents, la capacité de gain de chacun d'eux n'est en principe réduite que dans la mesure de la prise en charge effective (arrêt du Tribunal fédéral 5A_472/2019 du 3 novembre 2020 consid. 3.2.2).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w:t>
      </w:r>
    </w:p>
    <w:p>
      <w:r>
        <w:rPr>
          <w:b/>
        </w:rPr>
        <w:t>E. 5.7</w:t>
      </w:r>
    </w:p>
    <w:p>
      <w:r>
        <w:t>L'enfant peut agir contre son père et sa mère, ou contre les deux ensemble, afin de leur réclamer l'entretien pour l'avenir et pour l'année qui précède l'ouverture de l'action (art. 303 CPC cum art. 279 CC). L'effet rétroactif ne se justifie que si l'entretien dû n'a pas été assumé en nature ou en espèces ou dès qu'il a cessé de l'être (arrêt du Tribunal fédéral 5A_372/2015 du 29 septembre 2015 consid. 3.1). Lorsque la procédure débute par une conciliation, c'est le moment du dépôt de la requête de conciliation (qui crée la litispendance; cf. art. 62 al. 1 CPC) qui est déterminant pour le calcul rétroactif, et non le dépôt de la demande (arrêt du Tribunal fédéral 5A_184/2015 du 22 janvier 2016 consid. 4.3 et réf. cit.). Les mesures provisoires ordonnées dans le cadre d'une action alimentaire apparaissent comme des mesures de réglementation, soit des mesures qui règlent provisoirement, pour la durée du procès, le rapport de droit durable existant entre</w:t>
      </w:r>
    </w:p>
    <w:p>
      <w:r>
        <w:t>- 23/28 -</w:t>
      </w:r>
    </w:p>
    <w:p>
      <w:r>
        <w:t>C/16332/2020 les parties. En ce sens, elles doivent être rapprochées des mesures provisoires ordonnées pendant la procédure de divorce, lesquelles sont définitivement acquises (ATF 137 III 586 consid. 1.2; 130 I 347 consid. 3.2; 128 III 121 c. 3c/bb). En d'autres termes, si le juge ne modifie pas les mesures provisionnelles en prononçant de nouvelles mesures provisionnelles, il ne peut revenir rétroactivement sur ces mesures dans le jugement au fond (ATF 142 III 193 consid. 5.3; 141 III 376 consid. 3.3.4).</w:t>
      </w:r>
    </w:p>
    <w:p>
      <w:r>
        <w:rPr>
          <w:b/>
        </w:rPr>
        <w:t>E. 5.8</w:t>
      </w:r>
    </w:p>
    <w:p>
      <w:r>
        <w:t>Des contributions doivent être déduits les montants dont l'intimé s'est d'ores et déjà acquitté à titre d'entretien (arrêt du Tribunal fédéral 5A_454/2017 du 17 mai 2018 consid. 5.3, non publié in ATF 144 III 377).</w:t>
      </w:r>
    </w:p>
    <w:p>
      <w:r>
        <w:rPr>
          <w:b/>
        </w:rPr>
        <w:t>E. 5.9</w:t>
      </w:r>
    </w:p>
    <w:p>
      <w:r>
        <w:t>En l'espèce, il n'est pas contesté que la situation financière des parties peut être arrêtée en tenant compte de leurs minimas vitaux selon le droit de la famille au vu de leurs revenus.</w:t>
      </w:r>
    </w:p>
    <w:p>
      <w:r>
        <w:rPr>
          <w:b/>
        </w:rPr>
        <w:t>E. 5.9.1</w:t>
      </w:r>
    </w:p>
    <w:p>
      <w:r>
        <w:t>L'appelant a perçu des revenus nets s'élevant à environ 9'550 fr. par mois (3'916 fr. de salaire et 5'630 fr. d'indemnités-chômage) entre juin 2021 et juin 2022, 8'950 fr. (1'450 fr. de salaire et 7'500 fr. d'indemnités-chômage) de juillet 2022 à novembre 2022, 7'500 fr. pour décembre et janvier 2022 et des indemnités- chômage d'environ 8'900 fr. dès février 2023.</w:t>
      </w:r>
    </w:p>
    <w:p>
      <w:r>
        <w:t>Si l'appelant est certes actuellement au chômage et si son délai-cadre échoit au 30 juin 2023, il n'est en l'état pas établi qu'il ne serait pas en mesure de retrouver un emploi dès juillet 2023 pour un salaire de l'ordre de 8'000 fr. Le minimum vital selon le droit de la famille de l'appelant s'élève à environ 4'764 fr. par mois jusqu'en avril 2022, puis à 4'414 fr. dès le mois de mai 2022, hors impôts, comprenant l’entier de son loyer (2'150 fr., non contesté par les intimées), la prime d'assurance-maladie (613 fr. 25), les frais de véhicule (800 fr., non contestés) et le montant de base selon les normes OP (1'200 fr. jusqu'en avril 2022, puis 850 fr.). Dès mai 2022, il sera tenu compte de la moitié du montant de base pour une personne vivant en couple, dès lors que l'entretien des enfants mineurs est prioritaire et que l'appelant n'a aucunement établi que sa nouvelle compagne n'aurait aucun revenu. L'appelant dispose ainsi d'un solde, hors impôts, d'environ 4'670 fr. par mois en 2022 (9'200 fr. de revenus moyens pour 4'530 fr. de charges moyennes), de 3'880 fr. en 2023 (8'300 fr. de revenus moyens pour 4'414 fr. de charges), puis de 3'580 fr. (8'000 fr. de revenus pour 4'414 fr. de charges).</w:t>
      </w:r>
    </w:p>
    <w:p>
      <w:r>
        <w:t>- 24/28 -</w:t>
      </w:r>
    </w:p>
    <w:p>
      <w:r>
        <w:t>C/16332/2020 Dès l'instauration de la garde alternée, sa charge de loyer sera réduite de 30%, de sorte que ses charges seront diminuées à 3'769 fr. et son solde disponible augmenté à environ 4'200 fr. par mois.</w:t>
      </w:r>
    </w:p>
    <w:p>
      <w:r>
        <w:rPr>
          <w:b/>
        </w:rPr>
        <w:t>E. 5.9.2</w:t>
      </w:r>
    </w:p>
    <w:p>
      <w:r>
        <w:t>La mère a travaillé en qualité de réconciliatrice contrôleuse boursière entre août 2010 et juillet 2013, date dès laquelle elle a arrêté de travailler, et ce avant la naissance de son premier enfant. Selon l'attestation établie le 12 janvier 2021 par l'Hospice général, elle a bénéficié de l'aide sociale de manière intermittente entre le 1er octobre 2018 et le 31 janvier 2021. Elle n'explique pas comment elle a subvenu à ses besoins durant les périodes où elle n'a pas bénéficié de l'aide sociale. La mère allègue être activement à la recherche d'un emploi à temps partiel depuis de nombreux mois, mais n'a produit que sept justificatifs de postulations sur une période de sept mois (de mars à septembre 2022). Sa fille cadette étant scolarisée depuis la rentrée scolaire 2021, il convient de retenir qu'elle aurait pu entreprendre les démarches nécessaires pour retrouver un emploi dès le mois de septembre 2021 et qu'elle a disposé du temps nécessaire pour ce faire avant la scolarisation de sa seconde enfant. Compte tenu du fait que ses deux enfants fréquentent le parascolaire, il aurait pu être attendu de la mère qu'elle prenne un emploi à hauteur d'au moins 65%, ce qui lui aurait procuré un revenu net d'environ 3'200 fr. par mois selon le calculateur national de salaire pour un emploi de type administratif (tel qu'assistante de direction), avec formation en entreprise, pour un salaire médian brut de 3'540 fr. par mois pour 26 heures de travail hebdomadaire. Son minimum vital selon le droit de la famille s'élève à 3'186 fr. par mois dès 2022, comprenant sa part du loyer (70% de 2'185 fr., soit 1'530 fr.), les frais [de la garantie de loyer] O______ (28 fr.), la prime d'assurance-maladie LAMal (178 fr. 05, subside déduit), les frais médicaux non remboursés (100 fr.), les impôts (0 fr. estimé au moyen de la calculette disponible sur le site de l'Administration fiscale genevoise en tenant compte d'un revenu mensuel net de 3'200 fr., des contributions en faveur des enfants, des allocations familiales, des subsides, sous déduction des frais d'assurance-maladie et de parascolaire, étant relevé que la mère bénéficie des déductions pour charges de famille et du splitting) et le montant de base (1'350 fr.). La mère dispose dès lors d'un solde d'environ 14 fr. dès 2022. Celle-ci étant en mesure de couvrir ses charges, la question d'une contribution de prise en charge ne se pose pas.</w:t>
      </w:r>
    </w:p>
    <w:p>
      <w:r>
        <w:t>- 25/28 -</w:t>
      </w:r>
    </w:p>
    <w:p>
      <w:r>
        <w:t>C/16332/2020</w:t>
      </w:r>
    </w:p>
    <w:p>
      <w:r>
        <w:rPr>
          <w:b/>
        </w:rPr>
        <w:t>E. 5.9.3</w:t>
      </w:r>
    </w:p>
    <w:p>
      <w:r>
        <w:t>Il n'est pas contesté qu'avant l'instauration de la garde alternée, les minima vitaux selon le droit de la famille des enfants s'élèvent à 760 fr. par D______ et à 715 fr. pour B______, déduction faite des allocations familiales et hors les frais de cours de danse (72 fr. 50) (cf. supra EN FAIT let. E.c). Dès l'instauration de la garde partagée, s'y ajoutera une part de loyer du père (15% de 2'150 fr., soit 327 fr. par enfant), de sorte que les minima vitaux s'élèveront alors à 1'087 fr. pour D______ et à 1'042 fr. pour B______.</w:t>
      </w:r>
    </w:p>
    <w:p>
      <w:r>
        <w:rPr>
          <w:b/>
        </w:rPr>
        <w:t>E. 5.9.4</w:t>
      </w:r>
    </w:p>
    <w:p>
      <w:r>
        <w:t>Au vu de ce qui précède, il se justifie, s'agissant de la période précédant l'instauration de la garde alternée, compte tenu de la situation financière des parents et du fait que l'entretien en nature de D______ et B______ a été assuré durant cette période exclusivement par leur mère, de mettre à la charge du père l'entier des charges des enfants. Ces dernières peuvent ainsi prétendre à la couverture de leurs minima vitaux, ainsi qu'à une part d'excédent d'environ 200 fr. tel qu'arrêté par le premier juge, ce montant apparaissant adéquat au vu de l'âge des enfants et de leurs besoins, soit à un montant mensuel de 960 fr. pour D______, respectivement de 915 fr. pour B______, étant relevé que le Tribunal n'a pas outrepassé son pouvoir d'appréciation en arrondissant les contributions d'entretien à 950 fr. pour chacune des enfants et que le père dispose, une fois ses propres charges (4'530 fr.) et lesdites contributions d'entretien couvertes, d'un solde d'environ 2'770 fr. en 2022, d'au moins 2'000 fr. en 2023 lui permettant d'assumer ses impôts, ainsi que l'entretien de son troisième enfant ([(100 fr. de prime d'assurance-maladie + 400 fr. de montant de base – 400 fr. d'allocations familiales) / 2 ] + 200 fr. de part d'excédent par égalité de traitement = 250 fr.), tout en lui laissant un part d'excédent.</w:t>
      </w:r>
    </w:p>
    <w:p>
      <w:r>
        <w:t>Compte tenu de ce qui précède et du prononcé de mesures provisionnelles le</w:t>
      </w:r>
    </w:p>
    <w:p>
      <w:r>
        <w:rPr>
          <w:b/>
        </w:rPr>
        <w:t>E. 9</w:t>
      </w:r>
    </w:p>
    <w:p>
      <w:r>
        <w:t>août 2021, le dies a quo sera fixé au jour du prononcé du jugement entrepris.</w:t>
      </w:r>
    </w:p>
    <w:p>
      <w:r>
        <w:t>Dès l'instauration de la garde alternée, les frais des enfants assumés par le père s'élèveront à 522 fr. pour chacune de ses filles (part de loyer (322 fr.) + moitié du montant de base (200 fr.)) et par la mère au solde de leurs charges (allocations familiales déduites), à savoir à 558 fr. pour D______, respectivement à 516 fr. pour B______. Par conséquent, il se justifie, au vu de la capacité financière respective des parties, que l'appelant continue à prendre à sa charge l'entier des charges assumées par la mère dès l'instauration de la garde alternée, auquel il convient d'ajouter la moitié de la part d'excédent précitée.</w:t>
      </w:r>
    </w:p>
    <w:p>
      <w:r>
        <w:t>Ainsi, l'appelant sera condamné à verser une contribution à l'entretien de chacune des enfants de 950 fr. dès le jour du prononcé du jugement entrepris, puis de 650 fr. dès l'instauration de la garde partagée. Par conséquent, le chiffre 7 du dispositif du jugement entrepris sera annulé et l'appelant condamné dans le sens de ce qui précède.</w:t>
      </w:r>
    </w:p>
    <w:p>
      <w:r>
        <w:t>- 26/28 -</w:t>
      </w:r>
    </w:p>
    <w:p>
      <w:r>
        <w:t>C/16332/2020 Il sera enfin précisé que les allocations familiales demeurent acquises à la mère dès l'instauration de la garde alternée. 6.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6.1 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w:t>
      </w:r>
    </w:p>
    <w:p>
      <w:r>
        <w:t>6.2 Les frais judiciaires de la procédure d'appel sont fixés à 2'000 fr. (art. 32 et 35 RTFMC), partiellement couverts par l'avance de frais opérée par l'appelant de 1'000 fr., laquelle demeure entièrement acquise à l'Etat de Genève (art. 111 al. 1 CPC).</w:t>
      </w:r>
    </w:p>
    <w:p>
      <w:r>
        <w:t>Pour des motifs d'équité liés à la nature du litige, ils seront répartis à parts égales entre les parties, à savoir à hauteur de 1'000 fr. pour l'appelant et de 1'000 fr. pour les intimées, solidairement entre elles (art. 95, 104 al. 1, 105, 106 al. 1 et 107 al. 1 let. c CPC). Dans la mesure où ces dernières plaident au bénéfice de l'assistance juridique, leurs frais judiciaires seront provisoirement supportés par l'Etat de Genève (art. 122 al. 1 let. b CPC), étant rappelé que les bénéficiaires de l'assistance juridique sont tenus au remboursement des frais judiciaires mis à la charge de l'Etat dans la mesure de l'art. 123 CPC (art. 19 RAJ). Pour les mêmes motifs, chaque partie supportera ses propres dépens d'appel (art. 107 al. 1 let. c CPC). * * * * *</w:t>
      </w:r>
    </w:p>
    <w:p>
      <w:r>
        <w:t>- 27/28 -</w:t>
      </w:r>
    </w:p>
    <w:p>
      <w:r>
        <w:t>C/16332/2020 PAR CES MOTIFS, La Chambre civile : A la forme : Déclare recevable l'appel interjeté le 5 septembre 2022 par A______ contre les chiffres 1, 2 et 7 du dispositif du jugement JTPI/7803/2022 rendu le 27 juin 2022 par le Tribunal de première instance dans la cause C/16332/2020-19. Déclare recevable l'appel joint interjeté le 13 octobre 2022 par C______, D______ et B______ contre le chiffre 7 dudit dispositif. Au fond : Annule les chiffres 1, 2 et 4 à 7 du dispositif du jugement entrepris et, statuant à nouveau sur ces points : Instaure une garde alternée sur D______ et B______, devant s'exercer d'entente entre les parents et, à défaut, à raison d'une semaine sur deux en alternance chez chacun des parents, le passage des enfants ayant lieu le lundi lors de leur dépose à l'école, ainsi que de la moitié des vacances scolaires chez chaque parent. Fixe le domicile légal de D______ et B______ chez C______. Exhorte A______ et C______ à poursuivre le travail de coparentalité. Condamne A______ à verser en mains de C______, par mois et d'avance, allocations familiales non comprises, une contribution à l'entretien de D______ et B______ de 950 fr. chacune dès le jour du prononcé du jugement attaqué, puis de 650 fr. dès l'instauration de la garde alternée, sous déduction des sommes d'ores et déjà versées à ce titre. Dit que les allocations familiales versées en faveur de D______ et B______ demeurent acquises à C______ dès l'instauration de la garde alternée. Confirme le jugement entrepris pour le surplus. Déboute les parties de toutes autres conclusions. Sur les frais : Arrête les frais judiciaires d'appel à 2'000 fr., les met pour moitié à la charge de A______ et pour moitié à la charge de C______, D______ et B______ et les compense partiellement avec l'avance fournie par A______, laquelle demeure entièrement acquise à l'Etat de Genève.</w:t>
      </w:r>
    </w:p>
    <w:p>
      <w:r>
        <w:t>- 28/28 -</w:t>
      </w:r>
    </w:p>
    <w:p>
      <w:r>
        <w:t>C/16332/2020 Dit que les frais à la charge de C______, D______ et B______ sont provisoirement supportés par l'Etat de Genève, vu l'octroi de l'assistance judiciaire. Dit que chaque partie supporte ses propres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