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ACJC/447/2016 vom 14. Januar 2010</w:t>
      </w:r>
    </w:p>
    <w:p>
      <w:r>
        <w:t>GE Cour de justice, 2010-01-14, FR</w:t>
      </w:r>
    </w:p>
    <w:p>
      <w:r>
        <w:rPr>
          <w:b/>
        </w:rPr>
        <w:t xml:space="preserve">Quelle: </w:t>
      </w:r>
      <w:r>
        <w:t>https://mcp.opencaselaw.ch/entscheid/ge_gerichte_ACJC_447_2016</w:t>
      </w:r>
    </w:p>
    <w:p>
      <w:r>
        <w:t>FR: GE_GERICHTE ACJC/447/2016 du 14 janvier 2010</w:t>
      </w:r>
    </w:p>
    <w:p>
      <w:r>
        <w:t>IT: GE_GERICHTE ACJC/447/2016 del 14 gennaio 2010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w:t>
      </w:r>
    </w:p>
    <w:p>
      <w:r>
        <w:t>Le recourant invoque que les changements imposés au secteur financier tant par les autorités que par l'évolution de la conjoncture économique et politique internationale ont entraîné une très importante baisse de ses revenus, en dépit de tous ses efforts. Le jugement entrepris violait au moins quatre dispositions, à savoir l'art. 2 al. 2 CC, l'art. 159 CC, l'art. 8 Cst. et l'art. 2 al. 1 CC. Il invoque également la théorie de l'imprévision et la clausula rebus sic standibus. L'application de la procédure sommaire était en outre critiquable en l'espèce dans la mesure où l'art. 257 CPC prévoit l'application d'une telle procédure lorsque l'état de fait n'est pas litigieux ou susceptible d'être immédiatement prouvé et que la situation juridique est claire.</w:t>
      </w:r>
    </w:p>
    <w:p>
      <w:r>
        <w:rPr>
          <w:b/>
        </w:rPr>
        <w:t>E. 2.1.1</w:t>
      </w:r>
    </w:p>
    <w:p>
      <w:r>
        <w:t>Aux termes de l'art. 80 al. 1 LP, le créancier qui est au bénéfice d'un jugement exécutoire peut requérir du juge la mainlevée définitive de l'opposition.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w:t>
      </w:r>
    </w:p>
    <w:p>
      <w:r>
        <w:t>- 4/6 -</w:t>
      </w:r>
    </w:p>
    <w:p>
      <w:r>
        <w:t>C/10599/2015 c'est-à-dire à décider si l'opposition doit ou ne doit pas être maintenue (ATF 140 III 372 consid. 3.1; 139 III 444 consid. 4.1.1). Le juge de la mainlevée doit vérifier que la prétention déduite en poursuite ressort du jugement qui lui est présenté. Il ne lui appartient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 2 septembre 2011 consid. 3.1).</w:t>
      </w:r>
    </w:p>
    <w:p>
      <w:r>
        <w:rPr>
          <w:b/>
        </w:rPr>
        <w:t>E. 2.1.2</w:t>
      </w:r>
    </w:p>
    <w:p>
      <w:r>
        <w:t>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(ATF 136 III 624 consid. 4.2.1; 115 III 97 consid. 4 et les références citées). Contrairement à ce qui vaut pour la mainlevée provisoire (art. 82 al. 2 LP), le poursuivi ne peut se borner à rendre sa libération vraisemblable; il doit, au contraire, en apporter la preuve stricte (ATF 125 III 42 consid. 2b in fine; ATF 124 III 501 consid. 3a et les références).</w:t>
      </w:r>
    </w:p>
    <w:p>
      <w:r>
        <w:rPr>
          <w:b/>
        </w:rPr>
        <w:t>E. 2.2</w:t>
      </w:r>
    </w:p>
    <w:p>
      <w:r>
        <w:t>En l'espèce, l'intimée a fondé sa requête de mainlevée sur un jugement du Tribunal de première instance du 14 janvier 2010, dont il n'est pas allégué qu'il aurait été annulé par une décision de la Cour ou du Tribunal fédéral, le recourant indiquant d'ailleurs que le jugement est "entré en force". Il est ainsi exécutoire et constitue dès lors un titre de mainlevée définitive. Le recourant ne soutient pas avoir effectué un quelconque paiement à l'intimée à titre de contribution d'entretien qui pourrait être imputé pour réduire le montant réclamé pour la période pour laquelle il fait l'objet de poursuites. Il invoque en revanche avoir effectué des paiements à d'autres titres, et donc, implicitement, la compensation. Il ne produit cependant pas à l'appui de ses allégations un titre exécutoire, mais uniquement un récapitulatif préparé par lui-même et qui, en tant que tel, ne présente pas de force probante particulière. En tout état de cause, le fait qu'il aurait payé des frais médicaux pour ses enfants ne permet pas de réduire le montant qu'il a été condamné à payer à l'intimée à titre de contribution d'entretien. Quant aux frais liés à des biens immobiliers dont il serait propriétaire avec son épouse, il ne fournit aucun élément permettant de considérer que le montant qu'il invoque avoir payé, quand bien même il serait avéré, représente effectivement la part qui aurait dû être assumée par l'intimée.</w:t>
      </w:r>
    </w:p>
    <w:p>
      <w:r>
        <w:t>- 5/6 -</w:t>
      </w:r>
    </w:p>
    <w:p>
      <w:r>
        <w:t>C/10599/2015 Le recourant invoque par ailleurs ses difficultés financières. Dans la mesure où la procédure de mainlevée est une pure procédure d'exécution forcée, elle ne peut permettre de revoir, au fond, la décision invoquée, et donc le montant de la contribution fixée par jugement sur mesures protectrices. Les difficultés financières et la baisse des revenus du recourant ne peuvent ainsi constituer un motif de refus de la mainlevée. De plus, en réclamant par la voie de la poursuite le paiement d'une contribution d'entretien telle qu'elle a été prévue par un jugement exécutoire, l'intimée n'agit ni de manière contraire à la bonne foi (art. 2 al. 1 CC) ni de manière abusive (art. 2 al. 2 CC). La théorie de l'imprévision invoquée n'est pas davantage pertinente dans le cadre d'une procédure de mainlevée, la modification des circonstances ne pouvant être prise en compte, le cas échéant, que dans le cadre d'une demande de modification du jugement de mesures protectrices. Enfin, c'est en vain que le recourant invoque une violation de l'art. 257 CPC relatif à la procédure de protection en cas clair dans la mesure où la procédure sommaire est applicable en l'espèce non en vertu de la disposition précitée, mais de l'art. 251 let. a CPC. Au vu de ce qui précède, c'est à bon droit que le Tribunal a prononcé la mainlevée requise. Le recours sera donc rejeté.</w:t>
      </w:r>
    </w:p>
    <w:p>
      <w:r>
        <w:rPr>
          <w:b/>
        </w:rPr>
        <w:t>E. 3</w:t>
      </w:r>
    </w:p>
    <w:p>
      <w:r>
        <w:t>Le recourant, qui succombe, sera condamné aux frais du recours (art. 106 al. 1 CPC), arrêtés à 600 fr. (art. 48 et 61 al. 1 OELP) et compensés avec l'avance de frais fournie, qui reste acquise à l'Etat de Genève (art. 111 al. 1 CPC).</w:t>
      </w:r>
    </w:p>
    <w:p>
      <w:r>
        <w:t>Le recourant sera également condamné aux dépens de l'intimée, arrêtés à 500 fr., la réponse au recours s'étant limitée à un bref courrier (art. 85, 89, 90 RTFMC; art. 20, 23, 25, 26 LaCC). * * * * *</w:t>
      </w:r>
    </w:p>
    <w:p>
      <w:r>
        <w:t>- 6/6 -</w:t>
      </w:r>
    </w:p>
    <w:p>
      <w:r>
        <w:t>C/10599/2015 PAR CES MOTIFS, La Chambre civile : A la forme : Déclare recevable le recours interjeté le 28 décembre 2015 par A______ contre le jugement JTPI/15365/2015 rendu le 15 décembre 2015 par le Tribunal de première instance dans la cause C/10599/2015-14 SML. Au fond : Rejette ce recours. Déboute les parties de toutes autres conclusions. Sur les frais : Arrête les frais judiciaires à 600 fr., les met à la charge de A______ et les compense avec l'avance de frais fournie, qui reste acquise à l'Etat de Genève. Condamne A______ à verser à B______ la somme de 500 fr. à titre de dépens de recours. Siégeant : Monsieur Laurent RIEBEN, président; Madame Nathalie LANDRY-BARTHE et Madame Pauline ERARD,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