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ACJC/447/2009 vom 20. April 2009</w:t>
      </w:r>
    </w:p>
    <w:p>
      <w:r>
        <w:t>GE Cour de justice, 2009-04-20, FR</w:t>
      </w:r>
    </w:p>
    <w:p>
      <w:r>
        <w:rPr>
          <w:b/>
        </w:rPr>
        <w:t xml:space="preserve">Quelle: </w:t>
      </w:r>
      <w:r>
        <w:t>https://mcp.opencaselaw.ch/entscheid/ge_gerichte_ACJC_447_2009</w:t>
      </w:r>
    </w:p>
    <w:p>
      <w:r>
        <w:t>FR: GE_GERICHTE ACJC/447/2009 du 20 avril 2009</w:t>
      </w:r>
    </w:p>
    <w:p>
      <w:r>
        <w:t>IT: GE_GERICHTE ACJC/447/2009 del 20 aprile 2009</w:t>
      </w:r>
    </w:p>
    <w:p>
      <w:pPr>
        <w:pStyle w:val="Heading2"/>
      </w:pPr>
      <w:r>
        <w:t>Regeste</w:t>
      </w:r>
    </w:p>
    <w:p>
      <w:r>
        <w:t>Résumé: DEMANDE DE RÉVISION - FAIT OU PREUVE ANTÉRIEURS AU JUGEMENT Seuls les faits survenus et les moyens de preuve existant avant le jugement (pseudo nova) peuvent être invoqués à l'appui d'une demande de révision, à l'exclusion des faits ou moyens de preuve postérieurs à l'arrêt.</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