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ACJC/445/2024 vom 9. April 2024</w:t>
      </w:r>
    </w:p>
    <w:p>
      <w:r>
        <w:t>GE Cour de justice, 2024-04-09, FR</w:t>
      </w:r>
    </w:p>
    <w:p>
      <w:r>
        <w:rPr>
          <w:b/>
        </w:rPr>
        <w:t xml:space="preserve">Quelle: </w:t>
      </w:r>
      <w:r>
        <w:t>https://mcp.opencaselaw.ch/entscheid/ge_gerichte_ACJC_445_2024</w:t>
      </w:r>
    </w:p>
    <w:p>
      <w:r>
        <w:t>FR: GE_GERICHTE ACJC/445/2024 du 9 avril 2024</w:t>
      </w:r>
    </w:p>
    <w:p>
      <w:r>
        <w:t>IT: GE_GERICHTE ACJC/445/2024 del 9 aprile 2024</w:t>
      </w:r>
    </w:p>
    <w:p>
      <w:pPr>
        <w:pStyle w:val="Heading2"/>
      </w:pPr>
      <w:r>
        <w:t>Erwägungen</w:t>
      </w:r>
    </w:p>
    <w:p>
      <w:r>
        <w:rPr>
          <w:b/>
        </w:rPr>
        <w:t>E. 1.1</w:t>
      </w:r>
    </w:p>
    <w:p>
      <w:r>
        <w:t>La décision querellée ayant été rendue dans une affaire relevant de la compétence du tribunal de la faillite selon la LP (art. 309 let. b ch. 7 et 319 let. a CPC; art. 174 al. 1 LP, applicable par renvoi de l'art. 194 al. 1 LP, en relation avec l'art. 192 LP), seule la voie du recours est ouverte.</w:t>
      </w:r>
    </w:p>
    <w:p>
      <w:r>
        <w:rPr>
          <w:b/>
        </w:rPr>
        <w:t>E. 1.2</w:t>
      </w:r>
    </w:p>
    <w:p>
      <w:r>
        <w:t>En l'espèce, le recours a été formé selon la forme et dans le délai prévus par la loi (art. 321 al. 1 et 2 CPC; art. 174 al. 1 LP), de sorte qu'il est recevable.</w:t>
      </w:r>
    </w:p>
    <w:p>
      <w:r>
        <w:rPr>
          <w:b/>
        </w:rPr>
        <w:t>E. 1.3</w:t>
      </w:r>
    </w:p>
    <w:p>
      <w:r>
        <w:t>Dans le cadre d'un recours, le pouvoir d'examen de la Cour est limité à la violation du droit et à la constatation manifestement inexacte des faits (art. 320 CPC).</w:t>
      </w:r>
    </w:p>
    <w:p>
      <w:r>
        <w:rPr>
          <w:b/>
        </w:rPr>
        <w:t>E. 1.4</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1.5</w:t>
      </w:r>
    </w:p>
    <w:p>
      <w:r>
        <w:t>La recourante a produit des pièces nouvelles devant la Cour.</w:t>
      </w:r>
    </w:p>
    <w:p>
      <w:r>
        <w:rPr>
          <w:b/>
        </w:rPr>
        <w:t>E. 1.5.1</w:t>
      </w:r>
    </w:p>
    <w:p>
      <w:r>
        <w:t>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w:t>
      </w:r>
    </w:p>
    <w:p>
      <w:r>
        <w:t>- 4/6 -</w:t>
      </w:r>
    </w:p>
    <w:p>
      <w:r>
        <w:t>C/7466/2023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de soutenir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w:t>
      </w:r>
    </w:p>
    <w:p>
      <w:r>
        <w:rPr>
          <w:b/>
        </w:rPr>
        <w:t>E. 1.5.2</w:t>
      </w:r>
    </w:p>
    <w:p>
      <w:r>
        <w:t>Parmi les pièces produites, il est seul établi que les factures sont antérieures au prononcé de faillite de première instance, les autres titres étant soit non datés soit postérieurs à ce prononcé, en particulier les déclarations d'abandon de créances. Ainsi ne sont recevables que les factures susmentionnées.</w:t>
      </w:r>
    </w:p>
    <w:p>
      <w:r>
        <w:rPr>
          <w:b/>
        </w:rPr>
        <w:t>E. 2</w:t>
      </w:r>
    </w:p>
    <w:p>
      <w:r>
        <w:t>La recourante se fonde sur les rentrées de liquidité et sur les abandons de créance pour soutenir qu'elle ne serait pas en situation de surendettement, ses dettes étant couvertes par ses actifs.</w:t>
      </w:r>
    </w:p>
    <w:p>
      <w:r>
        <w:rPr>
          <w:b/>
        </w:rPr>
        <w:t>E. 2.1</w:t>
      </w:r>
    </w:p>
    <w:p>
      <w:r>
        <w:t>L'art. 192 LP prévoit que la faillite est prononcée d'office sans poursuite préalable dans les cas prévus par la loi, soit en particulier les art. 725 et 725a CO (arrêt du Tribunal fédéral 5A_269/2010 du 3 septembre 2010 consid. 3).</w:t>
      </w:r>
    </w:p>
    <w:p>
      <w:r>
        <w:rPr>
          <w:b/>
        </w:rPr>
        <w:t>E. 2.2</w:t>
      </w:r>
    </w:p>
    <w:p>
      <w:r>
        <w:t>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w:t>
      </w:r>
    </w:p>
    <w:p>
      <w:r>
        <w:t>- 5/6 -</w:t>
      </w:r>
    </w:p>
    <w:p>
      <w:r>
        <w:t>C/7466/2023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 à-dire sa dissolution) en contrevenant au principe fondamental selon lequel la compétence de décider la dissolution d'une SA appartient exclusivement à l'assemblée générale des actionnaires (CJ GE, BISchK 1999, 192, 194; PETER/CAVADINI, Commentaire romand, Code des obligations II, 2017, n. 45ad art. 725 CO). Il y a surendettement au sens de l'art. 725 al. 2 CO, lorsque l'actif social ne couvre plus les fonds étrangers, c'est-à-dire lorsque les fonds propres ont été entièrement consommés par les pertes (PETER/CAVADINI, op. cit., n. 31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w:t>
      </w:r>
    </w:p>
    <w:p>
      <w:r>
        <w:rPr>
          <w:b/>
        </w:rPr>
        <w:t>E. 2.3</w:t>
      </w:r>
    </w:p>
    <w:p>
      <w:r>
        <w:t>En l'occurrence, la recourante fonde son recours sur les rentrées de liquidité qu'elle attend ainsi que sur des abandons de créances. Comme retenu ci-dessus, ce dernier pan d'argumentation repose sur des pièces irrecevables. Il n'en sera donc pas tenu compte. S'agissant des factures ouvertes qui ont été produites, elles émanent de la recourante et ne portent pas de reconnaissance de la part des débitrices qui y sont mentionnées. La recourante affirme qu'elles ne sont pas contestées, sans apporter aucun élément à cet égard. Rien ne permet donc de retenir que le jugement attaqué ne serait pas fondé. Dès lors, le recours sera rejeté, la faillite prenant effet à la date du prononcé du présent arrêt, compte tenu de l'effet suspensif accordé (arrêt du Tribunal fédéral 5A_92/2016 du 17 mars 2016).</w:t>
      </w:r>
    </w:p>
    <w:p>
      <w:r>
        <w:rPr>
          <w:b/>
        </w:rPr>
        <w:t>E. 3</w:t>
      </w:r>
    </w:p>
    <w:p>
      <w:r>
        <w:t>La recourante, qui succombe (art. 106 al. 1 CPC), supportera les frais judiciaires arrêtés à 750 fr. (art. 48, 61 OELP), compensés avec l'avance opérée, acquise à l'Etat de Genève (art. 111 al. 1 CPC). * * * * *</w:t>
      </w:r>
    </w:p>
    <w:p>
      <w:r>
        <w:t>- 6/6 -</w:t>
      </w:r>
    </w:p>
    <w:p>
      <w:r>
        <w:t>C/7466/2023 PAR CES MOTIFS, La Chambre civile : A la forme : Déclare recevable le recours formé le 9 février 2024 par A______ SÀRL contre le jugement JTPI/1494/2024 rendu le 29 janvier 2024 par le Tribunal de première instance dans la cause C/7466/2023–19 SFC. Au fond : Rejette ce recours, la faillite de A______ SÀRL prenant effet le 4 avril 2024 à 12 heures. Sur les frais : Arrête les frais judiciaires du recours à 750 fr., compensés avec l'avance de frais fournie, acquise à l'Etat de Genève, et les met à la charge de A______ SÀRL.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