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ACJC/445/2015 vom 24. April 2015</w:t>
      </w:r>
    </w:p>
    <w:p>
      <w:r>
        <w:t>GE Cour de justice, 2015-04-24, FR</w:t>
      </w:r>
    </w:p>
    <w:p>
      <w:r>
        <w:rPr>
          <w:b/>
        </w:rPr>
        <w:t xml:space="preserve">Quelle: </w:t>
      </w:r>
      <w:r>
        <w:t>https://mcp.opencaselaw.ch/entscheid/ge_gerichte_ACJC_445_2015</w:t>
      </w:r>
    </w:p>
    <w:p>
      <w:r>
        <w:t>FR: GE_GERICHTE ACJC/445/2015 du 24 avril 2015</w:t>
      </w:r>
    </w:p>
    <w:p>
      <w:r>
        <w:t>IT: GE_GERICHTE ACJC/445/2015 del 24 aprile 2015</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w:t>
      </w:r>
    </w:p>
    <w:p>
      <w:r>
        <w:rPr>
          <w:b/>
        </w:rPr>
        <w:t>E. 1.2</w:t>
      </w:r>
    </w:p>
    <w:p>
      <w:r>
        <w:t>Déposé dans le délai utile et selon la forme prescrite par la loi (art. 130 al. 1, 131 et 311 al. 1 CPC), l'appel est recevable. Sont également recevables les courriers des 2 et 13 février 2015 déposés par l'ap- pelant moins de dix jours après que la cause ait été gardée à juger par la Cour (arrêts du Tribunal fédéral 5A_777/2011 du 7 février 2012 consid. 2.2 et 5A_42/2011 du 21 mars 2011 consid. 2 in RSPC 2011 p. 280).</w:t>
      </w:r>
    </w:p>
    <w:p>
      <w:r>
        <w:t>- 8/14 -</w:t>
      </w:r>
    </w:p>
    <w:p>
      <w:r>
        <w:t>C/2544/2013</w:t>
      </w:r>
    </w:p>
    <w:p>
      <w:r>
        <w:rPr>
          <w:b/>
        </w:rPr>
        <w:t>E. 1.3</w:t>
      </w:r>
    </w:p>
    <w:p>
      <w:r>
        <w:t>La Cour revoit la cause avec un plein pouvoir d’examen (art. 310 CPC). Elle applique la maxime des débats et le principe de disposition (art. 55 al. 1, 58 al. 1 et 247 al. 1 CPC).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A teneur de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En l'espèce, l'intimée estime que l'appelant a allégué des faits nouveaux dans son écriture d'appel, soit que la résiliation des contrats litigieux au 30 août 2010 dé- coulait du fait que les nouveaux contrats envoyés au nom de J______ le 25 août 2010 devaient entrer en vigueur le 1er septembre 2010. Or, la question de la rési- liation des contrats de maintenance et de location était déjà litigieuse devant le Tribunal et l'appréciation des pièces produites devant le premier juge peut être revue librement par la Cour. Il ne s'agit donc pas d'un fait nouveau qui serait irre- cevable. Les pièces nouvelles produites par l'appelant, qui sont postérieures au jugement entrepris, sont recevables, ainsi que les faits qu'elles constatent.</w:t>
      </w:r>
    </w:p>
    <w:p>
      <w:r>
        <w:rPr>
          <w:b/>
        </w:rPr>
        <w:t>E. 3</w:t>
      </w:r>
    </w:p>
    <w:p>
      <w:r>
        <w:t>La seule question litigieuse est celle de savoir si les contrats de maintenance des photocopieurs D______ et E______, des deux télécopieurs F______ et G______, ainsi que le contrat de location du photocopieur H______, ont été résiliés et, le cas échéant, pour quelle date.</w:t>
      </w:r>
    </w:p>
    <w:p>
      <w:r>
        <w:rPr>
          <w:b/>
        </w:rPr>
        <w:t>E. 3.1.1</w:t>
      </w:r>
    </w:p>
    <w:p>
      <w:r>
        <w:t>Selon l'art. 544 al. 3 CO, les associés d’une société simple sont solidaire- ment responsables des engagements qu'ils ont assumés envers les tiers, en agissant conjointement ou par l'entremise d'un représentant; toutes conventions contraires sont réservées. La dissolution de la société simple ne modifie pas les engagements contractés envers les tiers (art. 551 CO).</w:t>
      </w:r>
    </w:p>
    <w:p>
      <w:r>
        <w:rPr>
          <w:b/>
        </w:rPr>
        <w:t>E. 3.1.2</w:t>
      </w:r>
    </w:p>
    <w:p>
      <w:r>
        <w:t>En vertu du principe de la liberté contractuelle, les parties peuvent aménager leurs relations juridiques comme elles l'entendent, elles ne sont pas liées par les normes légales dispositives, qu'elles peuvent écarter ou modifier, notamment en</w:t>
      </w:r>
    </w:p>
    <w:p>
      <w:r>
        <w:t>- 9/14 -</w:t>
      </w:r>
    </w:p>
    <w:p>
      <w:r>
        <w:t>C/2544/2013 intégrant des conditions générales (TERCIER/PICHONNAZ, Le droit des obligations, 5ème éd., 2012, n. 710 à 714, p. 163). La résiliation est un droit reconnu à une partie de mettre fin à un contrat de durée, il s'agit d'un droit formateur, car il permet, par une manifestation unilatérale de volonté, de modifier en sa faveur une situation juridique préexistante (TERCIER/ PICHONNAZ, op. cit., n. 269, p. 67). Comme toute manifestation de volonté, la résiliation est soumise aux règles d'in- terprétation déduites des articles 1 et 18 CO en matière de consentement et de clauses contractuels (cf. ENGEL, Traité des obligations en droit suisse, 2ème éd., 1997, p. 239). En particulier, c'est à la lumière du principe de la confiance qu'il convient d'examiner si une résiliation est intervenue par actes concluants, pour autant que la volonté réelle des parties n’ait pu être établie (arrêts du Tribunal fédéral 4C.189/2005 du 17 novembre 2005 consid. 2.3; 4C.143/1999 du 24 août 1999 consid. 2a). Par l'interprétation selon la théorie de la confiance, le juge recherche comment une manifestation de volonté pouvait être comprise de bonne foi en fonction de l'ensemble des circonstances (ATF 140 III 134 consid. 3.2; 138 III 29 consid. 2.2.3; 135 III 295 consid. 5.2). Le principe de la confiance permet d'imputer à une partie le sens objectif de sa déclaration ou de son comportement, même s'il ne correspond pas à sa volonté intime.</w:t>
      </w:r>
    </w:p>
    <w:p>
      <w:r>
        <w:rPr>
          <w:b/>
        </w:rPr>
        <w:t>E. 3.2.1</w:t>
      </w:r>
    </w:p>
    <w:p>
      <w:r>
        <w:t>En l'espèce, en vertu de l'art. 551 CO, la séparation des associés de C______ n'a pas modifié les engagements contractés à l'époque avec l'intimée, de sorte que contrairement à ce prétend l'appelant, la simple annonce de la séparation des asso- ciés n'a pas eu pour conséquence la résiliation automatique des contrats litigieux. Par ailleurs, l'appelant n'a pas prouvé avoir résilié ceux-ci oralement au moment de la séparation ou que l'un de ses anciens associés l'aurait fait pour le compte de C______. Ces derniers étant solidairement responsables des engagements pris envers des tiers, l'intimée pouvait donc agir contre un seul des associés de la société simple.</w:t>
      </w:r>
    </w:p>
    <w:p>
      <w:r>
        <w:rPr>
          <w:b/>
        </w:rPr>
        <w:t>E. 3.2.2</w:t>
      </w:r>
    </w:p>
    <w:p>
      <w:r>
        <w:t>Les explications des parties divergent quant à la date à laquelle les contrats litigieux ont été résiliés par l'appelant. Aucune volonté commune ne peut être éta- blie à cet égard. Il convient donc d'examiner si l'existence d'une résiliation par actes concluants peut être admise en vertu du principe de la confiance. En expédiant des nouveaux contrats le 25 août 2010, devant entrer en vigueur le 1er septembre 2010, l'intimée a proposé à l'appelant de conclure avec J______ de nouveaux contrats, en tous points similaires aux anciens, sous réserve de la déno- mination des parties contractantes, mais non pas de résilier purement et simple- ment des contrats conclus avec C______ et de renoncer unilatéralement aux avan- tages retirés de ceux-ci si les nouveaux contrats proposés n'étaient pas signés.</w:t>
      </w:r>
    </w:p>
    <w:p>
      <w:r>
        <w:t>- 10/14 -</w:t>
      </w:r>
    </w:p>
    <w:p>
      <w:r>
        <w:t>C/2544/2013 L'appelant ayant refusé de signer les nouveaux contrats, les anciens conclus avec C______ sont restés en vigueur. Par ailleurs, dans sa télécopie du 30 août 2010, l'appelant ne fait qu'émettre son avis, expliquant qu'il "part du principe" que les contrats conclu avec C______ avaient tous été résiliés par une tierce personne, sans pour autant indiquer que, si tel n'était toutefois pas le cas, il les résiliait. Si l'appelant, homme de loi d'expé- rience, avait voulu manifester sa volonté de résilier les contrats litigieux à ce mo- ment, il aurait employé des termes clairs, sans équivoques. De plus, en indiquant que "en l'état, seul le suivi au mois par mois sera pris en charge par l'Etude J______", l'appelant a exprimé sa volonté de poursuivre une relation contractuelle avec l'intimée. Partant, ses déclarations ne pouvaient pas être comprises de bonne foi par l'inti- mée comme étant une résiliation formelle des contrats litigieux, ce qui ressort d'ailleurs de son courrier du 23 septembre 2010 où elle déclare que les contrats conclus avec C______ restaient en vigueur.</w:t>
      </w:r>
    </w:p>
    <w:p>
      <w:r>
        <w:rPr>
          <w:b/>
        </w:rPr>
        <w:t>E. 3.2.3</w:t>
      </w:r>
    </w:p>
    <w:p>
      <w:r>
        <w:t>Dans son courrier suivant sa télécopie du 30 août 2010, soit celui du 4 avril 2011, l'appelant a déclaré ne pas avoir souscrit de contrat avec l'intimée, con- testant lui devoir une quelconque somme. Le Tribunal a considéré qu'au plus tard à réception de ce courrier, soit à une date arrêtée au 10 avril 2011 et non contestée par les parties, l'intimée devait com- prendre que l'appelant ne souhaitait plus être lié à elle, en particulier dans le cadre des contrats de maintenance. L'intimée ne le conteste pas devant la Cour, de sorte que le jugement sera con- firmé en tant qu'il a considéré que les contrats de maintenance ont été valablement résiliés au plus tôt à réception par l'intimée du courrier de l'appelant du 4 avril 2011, soit, compte tenu des termes contractuellement prévus, pour le 1er juillet 2012 (pour les photocopieurs D______ et E______), le 26 juillet 2012 (pour le télécopieur F______) et le 22 novembre 2011 (pour le télécopieur G______). Le fait que ce courrier du 4 avril 2011 n’ait pas été envoyé en recommandé, alors que les contrats litigieux prévoyaient une telle forme pour la résiliation, est sans incidence. En effet, comme l'a relevé le Tribunal, le non-respect d'une forme de résiliation uniquement prévue dans un but probatoire, n'entraîne pas la nullité de cette résiliation, ce qui n'est d'ailleurs pas remis en cause en appel.</w:t>
      </w:r>
    </w:p>
    <w:p>
      <w:r>
        <w:rPr>
          <w:b/>
        </w:rPr>
        <w:t>E. 3.2.4</w:t>
      </w:r>
    </w:p>
    <w:p>
      <w:r>
        <w:t>En ce qui concerne le contrat de location, une résiliation formelle est inter- venue par courrier recommandé de l'appelant du 1er novembre 2011. Il doit ainsi être admis qu'il considérait, jusqu'à cette date, être contractuellement lié à l'intimée, étant relevé qu'il a continué à utiliser le photocopieur H______ au-delà du 30 août 2010.</w:t>
      </w:r>
    </w:p>
    <w:p>
      <w:r>
        <w:t>- 11/14 -</w:t>
      </w:r>
    </w:p>
    <w:p>
      <w:r>
        <w:t>C/2544/2013 Il soutient, certes, qu'il ne s'agissait que d'une lettre de précaution et qu'un contrat tacite de location avait été conclu entre lui et l'intimée. Toutefois, dans la mesure où le contrat conclu avec C______ n'avait pas été résilié à la suite de la séparation de ses associés, il est resté en vigueur et les relations entre les parties n'ont pas été régies par un contrat tacite. Dès lors, la durée et la résiliation du contrat de loca- tion du 3 juillet 2009 était soumise aux conditions prévues par celui-ci, à l'exclu- sion de l'art. 266f CO invoqué par l'appelant, lequel prévoit qu'une partie peut ré- silier le bail de choses mobilières avec un délai de congé de trois jours. Le contrat de location est ainsi resté en vigueur jusqu'au 3 juillet 2013, soit la prochaine échéance contractuellement prévue. Le jugement querellé sera également confirmé sur ce point.</w:t>
      </w:r>
    </w:p>
    <w:p>
      <w:r>
        <w:rPr>
          <w:b/>
        </w:rPr>
        <w:t>E. 4</w:t>
      </w:r>
    </w:p>
    <w:p>
      <w:r>
        <w:t>Le photocopieur H______ étant en panne depuis mars 2011, l'appelant estime qu'aucune rémunération n’était due dès cette date et qu'en retenant le contraire, le Tribunal a violé l'art. 82 CO.</w:t>
      </w:r>
    </w:p>
    <w:p>
      <w:r>
        <w:rPr>
          <w:b/>
        </w:rPr>
        <w:t>E. 4.1</w:t>
      </w:r>
    </w:p>
    <w:p>
      <w:r>
        <w:t>Selon l'art. 82 CO, celui qui poursuit l'exécution d'un contrat bilatéral doit avoir exécuté ou offert d'exécuter sa propre obligation, à moins qu'il ne soit au bé- néfice d'un terme d'après les clauses ou la nature du contrat. Cette disposition s'applique aux contrats bilatéraux; elle vise directement les pres- tations d'un seul et même contrat synallagmatique promises l'une en échange de l'autre, soit celles qui dépendent l'une de l'autre pour leur naissance et leur exécu- tion (ATF 128 V 224 consid. 2b; 116 III 70 consid. 3b; 107 II 411 consid. 1). L'art. 82 CO accorde au débiteur une exception dilatoire qui lui permet de retenir la prestation réclamée jusqu'à l'exécution ou l'offre d'exécution de la contre- prestation (128 V 224 consid. 2b; 127 III 199 consid. 3a; 123 III 16 consid. 2b). L'admission de l'exception d'inexécution présuppose que soient remplies les trois conditions suivantes : les prestations réciproques, dues en vertu d'un seul et même contrat bilatéral parfait, se trouvent dans un rapport d'échange, elles sont toutes deux exigibles et le créancier n'a pas exécuté ou offert d'exécuter sa contre- prestation (HOHL, in Commentaire romand, Code des obligations I, 2ème éd., 2012, n. 4 à 8 ad art. 82 CO). Le débiteur ne peut en revanche pas invoquer cette exception s'il conteste l'existence même de son obligation (HOHL, op. cit., n. 6 ad art. 82 CO). Le contrat de bail est synallagmatique (MÜLLER, Contrats de droit suisse, 2012, n. 634 p. 125)</w:t>
      </w:r>
    </w:p>
    <w:p>
      <w:r>
        <w:rPr>
          <w:b/>
        </w:rPr>
        <w:t>E. 4.2</w:t>
      </w:r>
    </w:p>
    <w:p>
      <w:r>
        <w:t>En l'espèce, l'intimée a refusé de venir réparer le photocopieur H______ à la suite de la demande de l'appelant du 16 mars 2011, alors que ce dernier ne s'était pas acquitté de la facture du 14 février 2011 relative à la location de cet appareil pour la période de septembre à décembre 2010 et pour le premier trimestre de</w:t>
      </w:r>
    </w:p>
    <w:p>
      <w:r>
        <w:t>- 12/14 -</w:t>
      </w:r>
    </w:p>
    <w:p>
      <w:r>
        <w:t>C/2544/2013 2011, étant donné qu'il contestait toutes relations contractuelles entre les parties, soit l'existence même de sa propre obligation. Or, la délivrance d'une chose dans un état approprié à l'usage pour lequel elle a été louée et son entretien en cet état, d'une part, et le paiement de la rémunération due par le locataire pour la cession de l'usage de la chose, d'autre part, sont des presta- tions réciproques dues en vertu d'un même contrat. En ne payant pas lesdites fac- tures, l'appelant ne pouvait exiger de l'intimée qu'elle exécute sa prestation, soit la maintenance de l'appareil en question. Partant, l'appelant ne peut pas valablement invoquer l'art. 82 CO.</w:t>
      </w:r>
    </w:p>
    <w:p>
      <w:r>
        <w:rPr>
          <w:b/>
        </w:rPr>
        <w:t>E. 5</w:t>
      </w:r>
    </w:p>
    <w:p>
      <w:r>
        <w:t>A titre subsidiaire, l'appelant invoque l'existence d'un juste motif pour motiver la résiliation immédiate des cinq contrats litigieux.</w:t>
      </w:r>
    </w:p>
    <w:p>
      <w:r>
        <w:rPr>
          <w:b/>
        </w:rPr>
        <w:t>E. 5.1</w:t>
      </w:r>
    </w:p>
    <w:p>
      <w:r>
        <w:t>Le principe général selon lequel les contrats de durée peuvent être résiliés de manière anticipée pour de justes motifs consacre le droit de résiliation extra- ordinaire. Ne peuvent constituer de justes motifs que les circonstances d'une gra- vité exceptionnelle, qui n'étaient pas connues ni prévisibles lors de la conclusion du contrat et qui ne sont pas la conséquence d'une faute de la partie qui s'en pré- vaut. Ces circonstances doivent être si graves qu'elles rendent la continuation du contrat objectivement intolérable; la perception subjective d'une situation intolé- rable, par la partie qui résilie, n'est pas déterminante. A cet égard, le juge apprécie librement, selon les règles du droit et de l'équité (arrêt du Tribunal fédéral 4A_586/2012 du 23 septembre 2013 consid. 3.1; VENTURI-ZEN-RUFFINEN, La ré- siliation pour justes motifs des contrats de durée, in SJ 2008 II, p. 11).</w:t>
      </w:r>
    </w:p>
    <w:p>
      <w:r>
        <w:rPr>
          <w:b/>
        </w:rPr>
        <w:t>E. 5.2</w:t>
      </w:r>
    </w:p>
    <w:p>
      <w:r>
        <w:t>En l'occurrence, l'appelant invoque comme justes motifs l'inutilité des contrats litigieux dès le départ de ses anciens associés, ceux-ci ayant été conclus avec l'in- timée uniquement en raison de liens privilégiés que cette dernière entretenait avec l'un des associés de C______, ainsi que les difficultés rencontrées entre les parties et le fait qu'il ne pouvait assumer seul les frais liés aux contrats litigieux. Par ces allégations, l'appelant ne démontre en rien l'existence de justes motifs d'une gravité exceptionnelle empêchant la continuation des rapports contractuels avec l'intimée. En effet, l'appelant a souscrit avec une autre société en octobre 2011 des contrats de maintenance sur ses appareils de bureautiques, ce qui contre- dit son allégation selon laquelle il ne pouvait assumer seul les frais liés aux con- trats litigieux. L'existence de prétendus liens privilégiés entretenus entre un ancien associé de C______ et l'intimée n'est pas établie et ne constitue, en tout état de cause, pas un juste motif de résiliation extraordinaire. De plus, les simples diffi- cultés entre les parties et le fait que l'appelant ne "voulait logiquement plus conti- nuer d'être lié contractuellement" avec l'intimée ne constituent pas une circonstance particulière pouvant être qualifiée de juste de motif de résiliation,</w:t>
      </w:r>
    </w:p>
    <w:p>
      <w:r>
        <w:t>- 13/14 -</w:t>
      </w:r>
    </w:p>
    <w:p>
      <w:r>
        <w:t>C/2544/2013 étant relevé, en tout état de cause, qu'à la date à laquelle l'appelant soutient que la résiliation est intervenue, soit en août 2010, les parties n'étaient pas en conflit. Le Tribunal a donc retenu à raison qu'il n'existait pas de justes motifs à une rési- liation extraordinaire. Le jugement querellé sera également confirmé sur ce point.</w:t>
      </w:r>
    </w:p>
    <w:p>
      <w:r>
        <w:rPr>
          <w:b/>
        </w:rPr>
        <w:t>E. 6</w:t>
      </w:r>
    </w:p>
    <w:p>
      <w:r>
        <w:t>L'appelant n'a pas remis en cause les montants dus, ni les intérêts moratoires, tels qu'ils ont été arrêtés par le premier juge, de sorte que ceux-ci ne seront pas revus.</w:t>
      </w:r>
    </w:p>
    <w:p>
      <w:r>
        <w:rPr>
          <w:b/>
        </w:rPr>
        <w:t>E. 7</w:t>
      </w:r>
    </w:p>
    <w:p>
      <w:r>
        <w:t>En application de l'art. 106 al. 1 CPC, l'appelant, qui succombe en appel, sera con- damné aux frais judiciaires d'appel, fixés à 2'000 fr. (art. 95, 96 et 105 CPC; art. 17 et 35 du Règlement fixant le tarif des frais en matière civile [RTFMC - E 1 05.10]), et entièrement compensés par l'avance de frais effectuée par lui (art. 111 al. 1 CPC). L'appelant sera également condamné au paiement des dépens de sa partie adverse, arrêtés à 2'000 fr., débours et TVA compris, au regard de la valeur litigieuse de 16'917 fr. 20 ainsi que l'ampleur et la difficulté de la cause (art. 20, 25 et 26 de la loi d'application du Code civil suisse et autres lois fédérales en matière civile [LaCC - E 1 05] et 85 et 90 RTFMC). * * * * *</w:t>
      </w:r>
    </w:p>
    <w:p>
      <w:r>
        <w:t>- 14/14 -</w:t>
      </w:r>
    </w:p>
    <w:p>
      <w:r>
        <w:t>C/2544/2013 PAR CES MOTIFS, La Chambre civile : A la forme : Déclare recevable l'appel interjeté le 18 juin 2014 par A______ contre le jugement JTPI/5661/2014 rendu le 12 mai 2014 par le Tribunal de première instance dans la cause C/2544/2013-11. Au fond : Confirme le jugement précité. Déboute les parties de toutes autres conclusions. Sur les frais : Arrête les frais judiciaire d'appel à 2'000 fr. et les met à la charge de A______. Dit qu'ils sont entièrement compensés par l'avance de frais de 2'000 fr. fournie par A______, qui reste acquise à l'Etat. Condamne A______ à verser à B______ la somme de 2'000 fr. à titre de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