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ACJC/444/2022 vom 29. März 2022</w:t>
      </w:r>
    </w:p>
    <w:p>
      <w:r>
        <w:t>GE Cour de justice, 2022-03-29, FR</w:t>
      </w:r>
    </w:p>
    <w:p>
      <w:r>
        <w:rPr>
          <w:b/>
        </w:rPr>
        <w:t xml:space="preserve">Quelle: </w:t>
      </w:r>
      <w:r>
        <w:t>https://mcp.opencaselaw.ch/entscheid/ge_gerichte_ACJC_444_2022</w:t>
      </w:r>
    </w:p>
    <w:p>
      <w:r>
        <w:t>FR: GE_GERICHTE ACJC/444/2022 du 29 mars 2022</w:t>
      </w:r>
    </w:p>
    <w:p>
      <w:r>
        <w:t>IT: GE_GERICHTE ACJC/444/2022 del 29 marzo 2022</w:t>
      </w:r>
    </w:p>
    <w:p>
      <w:pPr>
        <w:pStyle w:val="Heading2"/>
      </w:pPr>
      <w:r>
        <w:t>Volltext</w:t>
      </w:r>
    </w:p>
    <w:p>
      <w:r>
        <w:t>Le présent arrêt est communiqué à la partie requérante par pli recommandé du 1er avril 2022.</w:t>
      </w:r>
    </w:p>
    <w:p>
      <w:r>
        <w:t>REPUBLIQUE ET</w:t>
      </w:r>
    </w:p>
    <w:p>
      <w:r>
        <w:t>CANTON DE GENEVE POUVOIR JUDICIAIRE C/12728/2021 ACJC/444/2022 ARRÊT DE LA COUR DE JUSTICE Chambre civile DU MARDI 29 MARS 2022</w:t>
      </w:r>
    </w:p>
    <w:p>
      <w:r>
        <w:t>Pour Monsieur A______, domicilié ______ [VD], requérant suivant mémoire préventif formé le 1er juillet 2021, comparant par Me Charlotte BACHMANN, avocate, DGE Avocats, rue Bartholoni 6, case postale, 1211 Genève 4, en l'Étude de laquelle il fait élection de domicile.</w:t>
      </w:r>
    </w:p>
    <w:p>
      <w:r>
        <w:t>- 2/3 -</w:t>
      </w:r>
    </w:p>
    <w:p>
      <w:r>
        <w:t>C/12728/2021 Attendu, EN FAIT, que par mémoire préventif du 1er juillet 2021, A______ a conclu, au cas où B______ SA saisissait la Cour de justice d'une requête de mesures superprovisionnelles, au rejet de celle-ci; Que A______ a versé une avance de frais en 500 fr. le 16 juillet 2021; Que B______ SA n'a, à ce jour, saisi la Cour d'aucune procédure; Considérant, EN DROIT, que le mémoire préventif est communiqué à l'autre partie uniquement si celle-ci introduit une procédure (art. 270 al. 2 CPC); Que, B______ SA n'ayant pas introduit de procédure dans le délai de 6 mois suivant le dépôt du mémoire préventif, ce dernier est devenu caduc (art. 270 al. 3 CPC); Que la Cour constatera la caducité du mémoire préventif et rayera la cause du rôle; Que les frais seront mis à la charge de la partie requérante (art. 106 al. 1 CPC); Que ceux-ci seront arrêtés à 500 fr. au regard de l'activité déployée par la Cour de céans et compensés avec l'avance fournie par A______ qui reste acquise à l'État (art. 111 al. 1 CPC); * * * * *</w:t>
      </w:r>
    </w:p>
    <w:p>
      <w:r>
        <w:t>- 3/3 -</w:t>
      </w:r>
    </w:p>
    <w:p>
      <w:r>
        <w:t>C/12728/2021 PAR CES MOTIFS, La Chambre civile :</w:t>
      </w:r>
    </w:p>
    <w:p>
      <w:r>
        <w:t>Constate que le mémoire préventif formé par A______ le 1er juillet 2021 est devenu caduc. Arrête les frais judiciaires à 500 fr., les met à la charge de A______ et dit qu'ils sont compensés avec l'avance de frais fournie par ce dernier, qui reste acquise à l'État de Genève. Raye la cause du rôle. Siégeant : Monsieur Laurent RIEBEN, président; Madame Paola CAMPOMAGNANI et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