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ACJC/444/2017 vom 11. April 2017</w:t>
      </w:r>
    </w:p>
    <w:p>
      <w:r>
        <w:t>GE Cour de justice, 2017-04-11, FR</w:t>
      </w:r>
    </w:p>
    <w:p>
      <w:r>
        <w:rPr>
          <w:b/>
        </w:rPr>
        <w:t xml:space="preserve">Quelle: </w:t>
      </w:r>
      <w:r>
        <w:t>https://mcp.opencaselaw.ch/entscheid/ge_gerichte_ACJC_444_2017</w:t>
      </w:r>
    </w:p>
    <w:p>
      <w:r>
        <w:t>FR: GE_GERICHTE ACJC/444/2017 du 11 avril 2017</w:t>
      </w:r>
    </w:p>
    <w:p>
      <w:r>
        <w:t>IT: GE_GERICHTE ACJC/444/2017 del 11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Maître B.______, domicilié ______, agissant en qualité d'exécuteur testamentaire de la succession de Madame C.______, intimé, comparant en personne,</w:t>
      </w:r>
    </w:p>
    <w:p>
      <w:r>
        <w:rPr>
          <w:b/>
        </w:rPr>
        <w:t>E. 2</w:t>
      </w:r>
    </w:p>
    <w:p>
      <w:r>
        <w:t>Madame D.______, domiciliée ______, France,</w:t>
      </w:r>
    </w:p>
    <w:p>
      <w:r>
        <w:rPr>
          <w:b/>
        </w:rPr>
        <w:t>E. 3</w:t>
      </w:r>
    </w:p>
    <w:p>
      <w:r>
        <w:t>Madame E.______, domiciliée ______, Allemagne, intimées, comparant par Me B.______, avocat, ______, en l'étude duquel elles font élection de domicile.</w:t>
      </w:r>
    </w:p>
    <w:p>
      <w:r>
        <w:t>- 2/3 -</w:t>
      </w:r>
    </w:p>
    <w:p>
      <w:r>
        <w:t>C/9978/2013 Vu, EN FAIT, le jugement du Tribunal de première instance du 22 décembre 2016 dans la cause C/9978/2013-19; Vu l'appel formé par A.______ contre ce jugement le 15 février 2017; Vu la notification de cet appel à Me B.______, D.______ et E.______ par avis de la Cour du 20 mars 2017, leur impartissant un délai de 30 jours dès réception pour répondre à l'appel; Vu la requête de sûretés en garantie des dépens formée par Me B.______, D.______ et E.______ le 27 mars 2017, tendant à ce que A.______ soit condamné à verser à l'Etat de Genève, à titre de sûretés en garantie de ses dépens, un montant de 106'400 fr. (ch. 3), subsidiairement 84'360 fr. (ch. 4), avec suite de frais et dépens (ch. 5); Attendu que Me B.______, D.______ et E.______ concluent, préalablement, à ce que le délai de 30 jours qui leur a été imparti pour répondre à l'appel soit suspendu jusqu'à droit jugé en dernière instance sur leur requête en fourniture de sûretés et paiement desdites sûretés (ch. 2); Considérant, EN DROIT, que la réponse à un appel doit être déposée dans un délai de 30 jours (art. 312 al. 2 CPC); Que le délai de réponse à l'appel court dès la notification de l'appel à l'intimé (ATF 141 III 554 consid. 2.4; 138 III 568 consid 3.1); Qu'afin de garantir l'égalité des armes, ce délai doit assurer que l'intimé dispose de la même durée, pour élaborer sa réponse à l'appel, que l'appelant pour son appel, de sorte que le législateur a opté sciemment pour un délai légal et, dès lors, non prolongeable en vertu de l'art. 144 al. 1 CPC (ATF 141 III 554 consid. 2.4); Que le fait que des sûretés en garantie des dépens aient été requises ne permet pas de déroger à ce principe (ATF 141 III 554 consid. 2.5); Qu'en l'espèce, les intimés sollicitent la suspension du délai pour répondre à l'appel, lequel est un délai légal, non prolongeable, de sorte que leur requête sera rejetée; Qu'il sera statué sur les frais et dépens de la présente décision avec la décision au fond (art. 104 al. 3 CPC). * * * * * *</w:t>
      </w:r>
    </w:p>
    <w:p>
      <w:r>
        <w:t>- 3/3 -</w:t>
      </w:r>
    </w:p>
    <w:p>
      <w:r>
        <w:t>C/9978/2013 PAR CES MOTIFS, La Chambre civile : Rejette la requête de Me B.______, D.______ et E.______ du 27 mars 2017 tendant à la suspension du délai qui leur a été imparti pour répondre à l'appel formé par A.______ contre le jugement JTPI/15621/2016 rendu le 22 décembre 2016 par le Tribunal de première instance dans la cause C/9978/2013-19. Dit qu'il sera statué sur les frais et dépens de la présente décision avec la décision sur le fond. Siégeant : Monsieur Laurent RIEBEN, président; Madame Camille LESTEVEN, greffière.</w:t>
      </w:r>
    </w:p>
    <w:p>
      <w:r>
        <w:t>Le président : Laurent RIEBEN</w:t>
      </w:r>
    </w:p>
    <w:p>
      <w:r>
        <w:t>La greffière : Camille LESTEVEN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