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ACJC/444/2009 vom 20. April 2009</w:t>
      </w:r>
    </w:p>
    <w:p>
      <w:r>
        <w:t>GE Cour de justice, 2009-04-20, FR</w:t>
      </w:r>
    </w:p>
    <w:p>
      <w:r>
        <w:rPr>
          <w:b/>
        </w:rPr>
        <w:t xml:space="preserve">Quelle: </w:t>
      </w:r>
      <w:r>
        <w:t>https://mcp.opencaselaw.ch/entscheid/ge_gerichte_ACJC_444_2009</w:t>
      </w:r>
    </w:p>
    <w:p>
      <w:r>
        <w:t>FR: GE_GERICHTE ACJC/444/2009 du 20 avril 2009</w:t>
      </w:r>
    </w:p>
    <w:p>
      <w:r>
        <w:t>IT: GE_GERICHTE ACJC/444/2009 del 20 aprile 2009</w:t>
      </w:r>
    </w:p>
    <w:p>
      <w:pPr>
        <w:pStyle w:val="Heading2"/>
      </w:pPr>
      <w:r>
        <w:t>Regeste</w:t>
      </w:r>
    </w:p>
    <w:p>
      <w:r>
        <w:t>Résumé: DROIT DE RÉTENTION Le seul droit que le bailleur puisse faire valoir sur les biens de son fermier est le droit de rétention qui garantit le fermage de l'année écoulée et de l'année courante (art. 299c CO). Il garantit aussi, selon la jurisprudence, les indemnités pour occupation illicite mais non les dommages-intérêts dus au bailleur pour une autre cause (LACHAT David, Le bail à loyer, Lausanne 2008, n. 13.6.6 et réf. citées).</w:t>
      </w:r>
    </w:p>
    <w:p>
      <w:pPr>
        <w:pStyle w:val="Heading2"/>
      </w:pPr>
      <w:r>
        <w:t>Volltext</w:t>
      </w:r>
    </w:p>
    <w:p>
      <w:r>
        <w:t>Résumé: DROIT DE RÉTENTION Le seul droit que le bailleur puisse faire valoir sur les biens de son fermier est le droit de rétention qui garantit le fermage de l'année écoulée et de l'année courante (art. 299c CO). Il garantit aussi, selon la jurisprudence, les indemnités pour occupation illicite mais non les dommages-intérêts dus au bailleur pour une autre cause (LACHAT David, Le bail à loyer, Lausanne 2008, n. 13.6.6 et réf. citées).</w:t>
      </w:r>
    </w:p>
    <w:p>
      <w:r>
        <w:t>Descripteurs: Descripteurs: BAIL A LOYER; DROIT DE RETENTION; LOCAL PROFESSIONNEL</w:t>
      </w:r>
    </w:p>
    <w:p>
      <w:r>
        <w:t>Normes: Normes: CO.268; LP.151.ss; LP.283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