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ACJC/443/2025 vom 7. April 2025</w:t>
      </w:r>
    </w:p>
    <w:p>
      <w:r>
        <w:t>GE Cour de justice, 2025-04-07, FR</w:t>
      </w:r>
    </w:p>
    <w:p>
      <w:r>
        <w:rPr>
          <w:b/>
        </w:rPr>
        <w:t xml:space="preserve">Quelle: </w:t>
      </w:r>
      <w:r>
        <w:t>https://mcp.opencaselaw.ch/entscheid/ge_gerichte_ACJC_443_2025</w:t>
      </w:r>
    </w:p>
    <w:p>
      <w:r>
        <w:t>FR: GE_GERICHTE ACJC/443/2025 du 7 avril 2025</w:t>
      </w:r>
    </w:p>
    <w:p>
      <w:r>
        <w:t>IT: GE_GERICHTE ACJC/443/2025 del 7 aprile 2025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sur l'entretien de l'enfant des parties, il est de nature pécuniaire (ATF 133 III 393 consid. 2; arrêts du Tribunal fédéral 5A_779/2023 du 30 avril 2024 consid. 1.1; 5A_484/2020 du 16 février 2021 consid. 1). En l'espèce, la capitalisation, conformément à l'art. 92 al. 2 CPC, du montant des contributions d'entretien restées litigieuses au vu des dernières conclusions des parties devant le premier juge excède 10'000 fr.</w:t>
      </w:r>
    </w:p>
    <w:p>
      <w:r>
        <w:rPr>
          <w:b/>
        </w:rPr>
        <w:t>E. 1.2</w:t>
      </w:r>
    </w:p>
    <w:p>
      <w:r>
        <w:t>L'appel a été formé en temps utile et selon la forme prescrite par la loi (art. 130, 131 et 311 al. 1 CPC), de sorte qu'il est recevable. Sont également recevables les écritures postérieures des parties.</w:t>
      </w:r>
    </w:p>
    <w:p>
      <w:r>
        <w:t>- 6/9 -</w:t>
      </w:r>
    </w:p>
    <w:p>
      <w:r>
        <w:t>C/21071/2022</w:t>
      </w:r>
    </w:p>
    <w:p>
      <w:r>
        <w:rPr>
          <w:b/>
        </w:rPr>
        <w:t>E. 1.3</w:t>
      </w:r>
    </w:p>
    <w:p>
      <w:r>
        <w:t>La présente cause est soumise aux maximes d'office et inquisitoire illimitée dès lors qu'elle concerne un 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1.4</w:t>
      </w:r>
    </w:p>
    <w:p>
      <w:r>
        <w:t>Les parties ont produit des pièces nouvelles.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rPr>
          <w:b/>
        </w:rPr>
        <w:t>E. 1.4.2</w:t>
      </w:r>
    </w:p>
    <w:p>
      <w:r>
        <w:t>En l'espèce, les pièces nouvellement produites par les parties qui concernent leur situation personnelle et financière, sont recevables, dès lors qu'elles sont susceptibles d'avoir une influence sur la contribution due à l'entretien de l'enfant.</w:t>
      </w:r>
    </w:p>
    <w:p>
      <w:r>
        <w:rPr>
          <w:b/>
        </w:rPr>
        <w:t>E. 1.5</w:t>
      </w:r>
    </w:p>
    <w:p>
      <w:r>
        <w:t>L'appel peut être formé pour violation du droit et constatation inexacte des faits (art. 310 CPC). La Cour revoit la cause en fait et en droit avec un plein pouvoir d'examen (art. 310 CPC), mais uniquement dans la limite des griefs qui sont formulés (ATF 142 III 413 consid. 2.2.2).</w:t>
      </w:r>
    </w:p>
    <w:p>
      <w:r>
        <w:rPr>
          <w:b/>
        </w:rPr>
        <w:t>E. 2</w:t>
      </w:r>
    </w:p>
    <w:p>
      <w:r>
        <w:t>L'appelant reproche au Tribunal de lui avoir imputé un revenu hypothétique, et, en tout état, de ne pas lui avoir accordé un délai pour trouver un emploi. Il ne conteste pas le montant des charges pris en compte pour chacune des parties, ni les revenus de l'intimée.</w:t>
      </w:r>
    </w:p>
    <w:p>
      <w:r>
        <w:rPr>
          <w:b/>
        </w:rPr>
        <w:t>E. 2.1</w:t>
      </w:r>
    </w:p>
    <w:p>
      <w:r>
        <w:t>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Seul le revenu net peut être pris en considération dans la détermination de la capacité</w:t>
      </w:r>
    </w:p>
    <w:p>
      <w:r>
        <w:t>- 7/9 -</w:t>
      </w:r>
    </w:p>
    <w:p>
      <w:r>
        <w:t>C/21071/2022 contributive (arrêt du Tribunal fédéral 5A_729/2022 du 24 mai 2024 consid. 5.2.2.2). Le juge doit en principe tenir compte du revenu effectif des époux. Il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Pour arrêter le montant du salaire, le juge peut se baser sur l'enquête suisse sur la structure des salaires réalisée par l'Office fédéral de la statistique (ATF 137 III 118 consid. 3.2; arrêt du Tribunal fédéral 5A_764/2017 du 7 mars 2018 consid. 3.2). Le fait qu'un débirentier sans emploi n'ait pas vu ses indemnités suspendues, à titre de sanction, par une assurance sociale (chômage, assistance sociale) ne dispense d'ailleurs pas le juge civil d'examiner si l'on peut lui imputer un revenu hypothétique (arrêts du Tribunal fédéral 5A_99/2011 du 26 septembre 2011 consid. 7.4.2 et 5A_724/2009 du 26 avril 2010 consid. 5.3). 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w:t>
      </w:r>
    </w:p>
    <w:p>
      <w:r>
        <w:rPr>
          <w:b/>
        </w:rPr>
        <w:t>E. 2.2</w:t>
      </w:r>
    </w:p>
    <w:p>
      <w:r>
        <w:t>En l'espèce, comme l'a retenu à juste titre le Tribunal, l'appelant n'a jamais contribué à l'entretien de l'enfant E______, et ce même lorsqu'il percevait un salaire de l'ordre de 5'000 fr. Il n'a produit aucune pièce démontrant qu'il aurait</w:t>
      </w:r>
    </w:p>
    <w:p>
      <w:r>
        <w:t>- 8/9 -</w:t>
      </w:r>
    </w:p>
    <w:p>
      <w:r>
        <w:t>C/21071/2022 effectué, en vain, des recherches en vue de trouver un nouvel emploi depuis son licenciement en 2021 ou après le constat que sa société ne lui procurait qu'un revenu insuffisant. S'il allègue que la société qu'il a créée en Suisse lui rapporterait 3'000 fr. par mois, il ne fournit aucune pièce probante à cet égard, les relevés de son compte postal étant largement insuffisants à le démontrer, et n'étayant en tout état que partiellement dite allégation. L'appelant n'a fourni aucune explication sur ses liens avec la société O______, sise à P______ (F), dont il détient une carte de visite à son nom. Sa situation financière est ainsi opaque. Certes l'appelant est âgé de 55 ans. Cependant, il ne prétend pas souffrir de problème de santé et allègue au contraire travailler pour la société qu'il a créée, même si pour un revenu moindre. Il peut ainsi être exigé de lui, comme l'a fait le premier juge, qu'il renonce à cette activité indépendante insuffisamment rémunératrice pour lui permettre de contribuer à l'entretien de son enfant, et qu'il recherche un emploi salarié, dans un domaine dans lequel il a de l'expérience. Il ne soulève d'ailleurs aucun grief relatif à l'activité retenue par le Tribunal pour lui imputer un revenu hypothétique, pas plus que sur le montant pris en compte en lien avec celle-ci. Le fait que l'appelant émarge à l'assistance publique et a des dettes ne permet pas de parvenir à une autre conclusion. Cela tend seulement à démontrer que l'appelant ne fait pas tout ce qui est en son possible pour subvenir à ses besoins et ceux de son fils. Il ne saurait par ailleurs être tiré argument du jugement rendu sur mesures protectrices, d'entente entre les parties, dispensant l'appelant de contribuer à l'entretien de l'enfant, dans la mesure où la situation de celles-ci à cette date est inconnue. Enfin, c'est à bon droit que le Tribunal a imputé un revenu hypothétique à l'appelant dès l'entrée en force du jugement. En effet, celui-ci sait, à tout le moins depuis le dépôt de la requête de divorce en octobre 2022, qu'il doit contribuer à l'entretien de son enfant. Or, comme déjà relevé, il n'a entrepris aucune démarche en vue de trouver un emploi, ce qu'il aurait de surcroit dû faire en constatant que l'activité indépendante entamée ne lui procurait pas suffisamment de moyens, malgré le temps écoulé. En conclusion, l'appel est infondé et le jugement sera confirmé.</w:t>
      </w:r>
    </w:p>
    <w:p>
      <w:r>
        <w:rPr>
          <w:b/>
        </w:rPr>
        <w:t>E. 3</w:t>
      </w:r>
    </w:p>
    <w:p>
      <w:r>
        <w:t>L'appelant, qui succombe, sera condamné aux frais de l'appel, arrêtés à 800 fr., ceux-ci étant provisoirement laissés à la charge de l'Etat, compte tenu de l'octroi de l'assistance judiciaire.</w:t>
      </w:r>
    </w:p>
    <w:p>
      <w:r>
        <w:t>Compte tenu de la nature familiale du litige, chaque partie supportera ses propres dépens.</w:t>
      </w:r>
    </w:p>
    <w:p>
      <w:r>
        <w:t>- 9/9 -</w:t>
      </w:r>
    </w:p>
    <w:p>
      <w:r>
        <w:t>C/21071/2022 * * * * * PAR CES MOTIFS, La Chambre civile : A la forme : Déclare recevable l'appel interjeté le 31 mai 2024 par A______ contre le jugement JTPI/4132/2024 rendu le 25 mars 2024 par le Tribunal de première instance dans la cause C/21071/2022. Au fond : Confirme ce jugement. Déboute les parties de toutes autres conclusions. Sur les frais : Arrête les frais judiciaires de l'appel à 800 fr., les met à la charge de A______, et dit qu'ils sont provisoirement laissés à la charge de l'Etat de Genève. Dit qu'il n'est pas alloué de dépens. Siégeant : Madame Stéphanie MUSY, présidente; Madame Pauline ERARD, Monsieur Cédric- Laurent MICHEL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