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ACJC/439/2026 vom 10. März 2026</w:t>
      </w:r>
    </w:p>
    <w:p>
      <w:r>
        <w:t>GE Cour de justice, 2026-03-10, FR</w:t>
      </w:r>
    </w:p>
    <w:p>
      <w:r>
        <w:rPr>
          <w:b/>
        </w:rPr>
        <w:t xml:space="preserve">Quelle: </w:t>
      </w:r>
      <w:r>
        <w:t>https://mcp.opencaselaw.ch/entscheid/ge_gerichte_ACJC_439_2026</w:t>
      </w:r>
    </w:p>
    <w:p>
      <w:r>
        <w:t>FR: GE_GERICHTE ACJC/439/2026 du 10 mars 2026</w:t>
      </w:r>
    </w:p>
    <w:p>
      <w:r>
        <w:t>IT: GE_GERICHTE ACJC/439/2026 del 10 marzo 2026</w:t>
      </w:r>
    </w:p>
    <w:p>
      <w:pPr>
        <w:pStyle w:val="Heading2"/>
      </w:pPr>
      <w:r>
        <w:t>Erwägungen</w:t>
      </w:r>
    </w:p>
    <w:p>
      <w:r>
        <w:rPr>
          <w:b/>
        </w:rPr>
        <w:t>E. 1.1</w:t>
      </w:r>
    </w:p>
    <w:p>
      <w:r>
        <w:t>L'appel est recevable contre les décisions finales (308 al. 1 let. a CPC), dans les affaires patrimoniales, si la valeur litigieuse au dernier état des conclusions est supérieure à 10'000 fr. (art. 308 al. 2 CPC). L'appel, écrit et motivé, est introduit auprès de l'instance d'appel dans les 30 jours à compter de la notification de la décision motivée (art. 311 CPC). La chambre civile exerce les compétences que le CPC attribue à l'autorité d'appel (art. 120 al. 1 let. a LOJ [RS/GE E 2 05]).</w:t>
      </w:r>
    </w:p>
    <w:p>
      <w:r>
        <w:rPr>
          <w:b/>
        </w:rPr>
        <w:t>E. 1.2</w:t>
      </w:r>
    </w:p>
    <w:p>
      <w:r>
        <w:t>En l'espèce, dans la mesure où le jugement attaqué est une décision finale dans une cause patrimoniale dont la valeur litigieuse est supérieure à 10'000 fr. et que l'appel a été déposé dans les délais, devant l'autorité compétente et selon les formes prescrites par la loi (art. 130 al. 1, 131 et 311 CPC), l'appel est recevable. Sont également recevables la réponse, ainsi que les réplique et duplique respectives et les déterminations spontanées, déposées dans les délais légaux, respectivement impartis à cet effet, avant que la cause n'ait été gardée à juger par la Cour (art. 312 al. 2 et 316 al. 1 CPC; ATF 143 III 272 consid. 2.3.2). Les deux courriers des parties des 10 et 23 février 2026, arrivés postérieurement au début des délibérations, bien que portant sur des arguments juridiques, sont irrecevables, de même que l’est, pour les mêmes motifs, celui de la partie appelante du 25 février 2026 et de la pièce qui l’accompagne (ATF 143 III 272 consid. 2.3.2).</w:t>
      </w:r>
    </w:p>
    <w:p>
      <w:r>
        <w:rPr>
          <w:b/>
        </w:rPr>
        <w:t>E. 1.3</w:t>
      </w:r>
    </w:p>
    <w:p>
      <w:r>
        <w:t>La Cour revoit le fond du litige avec un plein pouvoir d'examen en fait et en droit (art. 310 CPC) et applique le droit d'office (art. 57 CPC). Conformément à l'art. 311 al. 1 CPC, elle le fait cependant uniquement sur les points du jugement</w:t>
      </w:r>
    </w:p>
    <w:p>
      <w:r>
        <w:t>- 7/17 -</w:t>
      </w:r>
    </w:p>
    <w:p>
      <w:r>
        <w:t>C/20889/2023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1.4</w:t>
      </w:r>
    </w:p>
    <w:p>
      <w:r>
        <w:t>La maxime des débats et le principe de disposition sont applicables (art. 55 al. 1 et 58 al. 1 CPC).</w:t>
      </w:r>
    </w:p>
    <w:p>
      <w:r>
        <w:rPr>
          <w:b/>
        </w:rPr>
        <w:t>E. 2</w:t>
      </w:r>
    </w:p>
    <w:p>
      <w:r>
        <w:t>L'appelante reproche au premier juge d'avoir violé son obligation de motiver sa décision. Ce moyen étant susceptible de sceller le sort de l'appel, il se justifie de l'examiner en priorité.</w:t>
      </w:r>
    </w:p>
    <w:p>
      <w:r>
        <w:rPr>
          <w:b/>
        </w:rPr>
        <w:t>E. 2.1</w:t>
      </w:r>
    </w:p>
    <w:p>
      <w:r>
        <w:t>Le droit d'être entendu est garanti aux art. 29 al. 2 Cst et 53 CPC.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Si la partie lésée a la possibilité d'exercer son droit d'être entendue dans le cadre de son appel, où l'autorité jouit d'un plein pouvoir d'examen en fait et en droit (art. 310 CPC), la violation est réparée. L'appelant ne peut alors pas se contenter de se plaindre de cette violation : il doit exercer son droit d'être entendu (arrêt du Tribunal fédéral 5A_925/2015 du 4 mars 2016 consid. 2.3.3.2 non publié in ATF 142 III 195).</w:t>
      </w:r>
    </w:p>
    <w:p>
      <w:r>
        <w:rPr>
          <w:b/>
        </w:rPr>
        <w:t>E. 2.2</w:t>
      </w:r>
    </w:p>
    <w:p>
      <w:r>
        <w:t>En l'espèce, l'appelante fait grief au Tribunal de s'être prononcé de façon lapidaire sur l'application de l'art. 400 al. 1 CO au contrat de conseil en placements et de s'être cantonné à l'examen de la clause de renonciation aux</w:t>
      </w:r>
    </w:p>
    <w:p>
      <w:r>
        <w:t>- 8/17 -</w:t>
      </w:r>
    </w:p>
    <w:p>
      <w:r>
        <w:t>C/20889/2023 rétrocessions pour la débouter de ses conclusions. La décision du Tribunal serait ainsi trop peu motivée. Or, l'appelante a pu former appel contre cette décision et argumenter sans difficultés en quoi elle ne serait pas conforme au droit. La Cour ne voit dès lors pas en quoi la décision querellée ne serait pas motivée à satisfaction de droit. Par ailleurs, l'appelante a pu s'exprimer en appel et exercer ainsi son droit d'être entendue devant une juridiction jouissant d'un plein pouvoir de cognition, de sorte que même à considérer que l'obligation du Tribunal de motiver sa décision eut été violée, ladite violation a été réparée dans le cadre de la procédure d'appel. Partant, ce premier grief soulevé par l'appelante sera rejeté.</w:t>
      </w:r>
    </w:p>
    <w:p>
      <w:r>
        <w:rPr>
          <w:b/>
        </w:rPr>
        <w:t>E. 3</w:t>
      </w:r>
    </w:p>
    <w:p>
      <w:r>
        <w:t>Sans remettre en cause ni la qualification du contrat de conseil en placements ni le fait que les conditions générales de l'intimée ne s'appliquaient pas au cas d'espèce, l'appelante reproche au Tribunal d'avoir considéré que l'intimée n'avait pas d'obligation de restituer les rétrocessions qu'elle avait perçues à la suite de l'acquisition par le client de huit produits structurés en 2016 et 2017.</w:t>
      </w:r>
    </w:p>
    <w:p>
      <w:r>
        <w:rPr>
          <w:b/>
        </w:rPr>
        <w:t>E. 3.1</w:t>
      </w:r>
    </w:p>
    <w:p>
      <w:r>
        <w:t>Lorsque les parties établissent une relation bancaire, elles concluent généralement plusieurs contrats, dont notamment un contrat de compte (habituellement un compte courant), un contrat de giro bancaire (trafic de paiements), un contrat de dépôt dans lequel sont conservés les titres du client et, pour les opérations boursières, soit un contrat de gestion de fortune (Vermögensverwaltungsvertrag), soit un contrat de conseil en placements (Anlageberatungsvertrag), soit une relation de simple compte/dépôt bancaire dite execution only (blosse Konto-/Depot-Beziehung) (ATF 133 III 97 consid. 7.1). De la qualification du contrat passé entre la banque et le client dépendent l'objet exact et l'étendue des devoirs contractuels d'information, de conseil et d'avertissement de la banque (Aufklärungs-, Beratungs- und Warnpflichten). Ces devoirs contractuels découlent des obligations de diligence et de fidélité ancrées dans les règles du mandat (art. 398 al. 2 CO), dans le principe de la confiance (art. 2 CC) ou encore dans l'ancien art. 11 de la loi fédérale sur les bourses et le commerces des valeurs mobilières du 24 mars 1995 (aLBVM; arrêts du Tribunal fédéral 4A_149/2025 du 12 janvier 2026 consid. 3.2; 4A_54/2017 du 29 janvier 2018 consid. 5.1.1).</w:t>
      </w:r>
    </w:p>
    <w:p>
      <w:r>
        <w:rPr>
          <w:b/>
        </w:rPr>
        <w:t>E. 3.1.1</w:t>
      </w:r>
    </w:p>
    <w:p>
      <w:r>
        <w:t>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L'existence d'un contrat de gestion de fortune n'exclut nullement que le client puisse occasionnellement donner des instructions à la banque. Les devoirs d'information, de conseil et d'avertissement</w:t>
      </w:r>
    </w:p>
    <w:p>
      <w:r>
        <w:t>- 9/17 -</w:t>
      </w:r>
    </w:p>
    <w:p>
      <w:r>
        <w:t>C/20889/2023 de la banque sont les plus étendus (arrêt du Tribunal fédéral 4A_54/2017 précité consid. 5.1.2).</w:t>
      </w:r>
    </w:p>
    <w:p>
      <w:r>
        <w:rPr>
          <w:b/>
        </w:rPr>
        <w:t>E. 3.1.2</w:t>
      </w:r>
    </w:p>
    <w:p>
      <w:r>
        <w:t>Lorsque la banque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 ses capitaux, il s'agit d'un contrat de conseil en placements qui se rapproche du contrat de gestion de fortune, mais s'en distingue par le fait que c'est le client qui décide, en dernière analyse, des placements à effectuer. Il y a participation active de la banque à la planification d'investissements et à leur changement dans le temps (arrêts du Tribunal fédéral 4A_54/2017 précité 5.1.3; 4A_168/2008 du 11 juin 2008 consid. 2.1 et 2.2, in SJ 2009 I 13 et 4A_525/2011 du 3 février 2012 consid. 3.1, in PJA 2012 1317). Le conseil demandé peut être ponctuel (LOMBARDINI, Droit bancaire suisse, 2ème éd., 2008, n. 10, p. 791). Lorsque la banque dispense des conseils ponctuels, un nouveau contrat de conseil est conclu à chaque nouveau conseil donné par la banque. Les effets du contrat s'épuisent de façon instantanée : soit le conseil est suivi, soit il ne l'est pas (LOMBARDINI, op. cit., n. 12, p. 791).</w:t>
      </w:r>
    </w:p>
    <w:p>
      <w:r>
        <w:rPr>
          <w:b/>
        </w:rPr>
        <w:t>E. 3.1.3</w:t>
      </w:r>
    </w:p>
    <w:p>
      <w:r>
        <w:t>Lorsque la banque et le client sont liés par un contrat de simple compte/dépôt bancaire (blosse Konto-/Depot-Beziehung; execution only), la banque s'engage uniquement à exécuter les instructions ponctuelles d'investissement du client. La banque ne peut donc effectuer une opération d'achat ou de vente déterminée sur le compte de son client que sur instructions ou avec l'accord de celui-ci, selon les règles du contrat de commission (art. 425 ss CO; arrêts du Tribunal fédéral 4A_354/2020 du 5 juillet 2021 consid. 3.1; 4A_599/2019 du 1er mars 2021 consid. 4; 4A_369/2015 du 25 avril 2016 consid. 2.4). Selon l'art. 425 al. 2 CO, les dispositions du mandat sont applicables, sauf dérogations résultant du titre quinzième du CO (arrêt du Tribunal fédéral 4A_149/2025 du 12 janvier 2026 consid. 3.2.1).</w:t>
      </w:r>
    </w:p>
    <w:p>
      <w:r>
        <w:rPr>
          <w:b/>
        </w:rPr>
        <w:t>E. 3.1.4</w:t>
      </w:r>
    </w:p>
    <w:p>
      <w:r>
        <w:t>Le mandataire est tenu de rendre en tout temps compte de sa gestion au mandant et de lui restituer tout ce qu'il a reçu de ce chef (cf. art. 400 al. 1 CO). L'obligation de rendre compte (Rechenschaftsablegung) doit permettre au mandant de contrôler l'activité du mandataire. Elle constitue le fondement de l'obligation de restitution et trouve ses limites dans les règles de la bonne foi (ATF 143 III 348 consid. 5.1.1; 139 III 49 consid. 4.1.2). L'obligation de restitution (Herausgabepflicht) peut être comprise comme une concrétisation de l'obligation de fidélité de l'art. 398 al. 2 CO. Elle en garantit le respect et constitue ainsi une mesure préventive tendant à sauvegarder les intérêts du mandant (ATF 139 III 49 consid. 4.1.2; 138 III 755 consid. 5.3), en prévenant d'éventuels</w:t>
      </w:r>
    </w:p>
    <w:p>
      <w:r>
        <w:t>- 10/17 -</w:t>
      </w:r>
    </w:p>
    <w:p>
      <w:r>
        <w:t>C/20889/2023 conflits d'intérêts entre le mandataire et le mandant (arrêt du Tribunal fédéral 4A_149/2025 du 12 janvier 2026 consid. 3.2.2). L'obligation de restitution a pour objet non seulement ce que le mandataire a reçu du mandant, ce qu'il a lui-même créé, mais également ce qu'il a reçu de tiers (ATF 143 III 348 consid. 5.1.2). Dans cette dernière catégorie, il faut distinguer entre les biens reçus de tiers du fait de l'exécution directe du mandat (comme résultat direct de l'exécution du mandat), que le mandataire ait agi en qualité de représentant direct ou indirect du mandant, et les avantages indirects reçus de tiers dans le cadre de l'exécution du mandat (comme résultat indirect de l'exécution du mandat; ATF 132 III 460 consid. 4.1). Les éléments qui sont versés au mandataire parce que, dans le cadre de l'exécution du mandat, il accomplit ou suscite certains actes de gestion, sont intrinsèquement liés à la gestion et tombent sous le coup de l'obligation de restituer de l'art. 400 al. 1 CO (ATF 138 III 755 consid. 4.2; 132 III 460 consid. 4.1). En revanche, les éléments reçus de tiers à l'occasion de l'exécution du mandat, mais qui ne sont pas intrinsèquement liés au mandat (par exemple les pourboires ou les présents usuels entre professionnels) ne sont pas soumis à l'obligation de restitution (ATF 138 III 755 consid. 4.2; 137 III 393 consid. 2.1). Le principe selon lequel le mandataire ne doit être ni appauvri, ni enrichi par le mandat, et le but de prévention des conflits d'intérêts, que vise l'obligation de restitution, sont les éléments décisifs pour décider si l'avantage patrimonial que le mandataire a reçu du tiers est un avantage indirect, qui est en relation intrinsèque avec l'exécution du mandat et qui doit être restitué, ou s'il a simplement été attribué à l'occasion de l'accomplissement du mandat, sans relation intrinsèque avec celui-ci et n'a donc pas à être restitué.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(ATF 143 III 348 consid. 5.1.2; 138 III 755 consid. 5.3). Il ne peut pas être fait abstraction du risque de conflits d'intérêts et étendre le champ d'application de l'art. 400 al. 1 CO à tout avantage indirect perçu par le mandataire du seul fait qu'il se retrouve enrichi. Cela reviendrait sinon à inclure les éléments reçus de tiers à l'occasion du mandat, alors qu'ils ont justement été exclus des prestations sujettes à restitution (ATF 143 III 348 consid. 5.1.2); en touchant une rémunération occasionnelle (à l'instar d'un pourboire) à l'occasion de l'exécution de son mandat, le mandataire se retrouve en effet aussi enrichi, mais ne doit pas pour autant restituer cette prestation. Les principes de prévention des conflits d'intérêts et de non-enrichissement (ou appauvrissement) du mandataire sont connexes et ne peuvent être appliqués que de manière conjointe dans le cadre d'une analyse globale. Le seul fait que le mandataire se retrouve enrichi ou</w:t>
      </w:r>
    </w:p>
    <w:p>
      <w:r>
        <w:t>- 11/17 -</w:t>
      </w:r>
    </w:p>
    <w:p>
      <w:r>
        <w:t>C/20889/2023 appauvri à l'occasion de l'exécution du mandat ne suffit pas à fonder une obligation de restitution et nécessite encore d'examiner, compte tenu des obligations contractuelles, si l'avantage patrimonial qui lui a été accordé est intrinsèquement lié au mandat et donc susceptible de générer un conflit d'intérêts dans le cas concret (arrêt du Tribunal fédéral 4A_149/2025 du 12 janvier 2026 consid. 3.5.1).</w:t>
      </w:r>
    </w:p>
    <w:p>
      <w:r>
        <w:rPr>
          <w:b/>
        </w:rPr>
        <w:t>E. 3.1.5</w:t>
      </w:r>
    </w:p>
    <w:p>
      <w:r>
        <w:t>Lorsque des rétrocessions ont été perçues dans le cadre de la distribution de produits financiers, il s'agit d'indemnités de distribution (commissions d'état) qui se fondent sur un accord convenu au préalable entre le distributeur et le fournisseur des produits financiers (par exemple un fonds de placement); elles sont versées au distributeur (soit la banque) à titre de commissions de gestion et sont prélevées de manière récurrente, en principe chaque année, sur la fortune d'un fonds, en déduction de la rentabilité de celui-ci, dans lequel plusieurs investisseurs détiennent une participation proportionnelle; cette rémunération est déterminée sur la base du stock total des produits concernés, et non pour chaque client individuellement (cf. ATF 138 III 755 consid. 5.4); enfin, elle est principalement axée sur les ventes et récompense les placements réussis des produits (ibidem consid. 5.6). La nature de cette indemnité de distribution ne l'exclut pas pour autant du champ d'application de l'art. 400 al. 1 CO et il convient d'examiner, en fonction des obligations contractuelles concrètes, si ces rétrocessions risquent de créer un conflit d'intérêts pour le distributeur (ibidem consid. 5.5). Les indemnités de distribution (ou commissions de gestion de portefeuille), perçues dans le cadre de distribution de produits financiers, se distinguent des rétrocessions classiques (cf. ATF 138 III 755 consid. 5.4) et ne sauraient ainsi par définition être sujettes à restitution. Elles ne poursuivent par ailleurs pas uniquement un but de rémunération, mais également d'indemnisation des frais supportés par le mandataire en lien avec le réseau et l'infrastructure qu'il doit se constituer pour mettre à disposition ces produits financiers à ses clients (cf. ATF 138 III 755 consid. 5.6; arrêt du Tribunal fédéral 4A_149/2025 du 12 janvier 2026 consid. 3.6.2).</w:t>
      </w:r>
    </w:p>
    <w:p>
      <w:r>
        <w:rPr>
          <w:b/>
        </w:rPr>
        <w:t>E. 3.1.6</w:t>
      </w:r>
    </w:p>
    <w:p>
      <w:r>
        <w:t>Dans le cadre d'une relation de gestion de fortune, le mandataire gérant le patrimoine de son client risque d'être incité à ne pas prendre suffisamment en compte les intérêts de ce dernier, puisqu'il décide lui-même, de manière autonome dans le cadre de la stratégie définie par le contrat, quels actes de gestion il accomplit pour le compte de son mandant, leur fréquence et leur importance. Compte tenu des versements qu'il obtient d'autres intermédiaires financiers, soit pour les avoirs de ses clients déposés auprès de banques dépositaires, soit pour la distribution des produits financiers (placements collectifs ou produits structurés) qu'il obtient des promoteurs de ces actifs pour chaque opération, le gérant de fortune se trouve dans une situation de conflit d'intérêts dans laquelle il pourrait être incité à privilégier certaines opérations, respectivement à multiplier les</w:t>
      </w:r>
    </w:p>
    <w:p>
      <w:r>
        <w:t>- 12/17 -</w:t>
      </w:r>
    </w:p>
    <w:p>
      <w:r>
        <w:t>C/20889/2023 transactions, dans le seul but de générer des rétrocessions plus élevées, au détriment des intérêts de son mandant. Un tel conflit existe aussi lorsque le gérant de fortune perçoit des commissions d'état pour la distribution de produits financiers, puisqu'il peut être incité à créer, maintenir ou augmenter un portefeuille de certains actifs sans que cela ne soit justifié par les intérêts du client. Compte tenu de ce risque, les rémunérations perçues sont donc intrinsèquement liées à l'exécution du mandat et doivent être restituées (arrêt du Tribunal fédéral 4A_149/2025 du 12 janvier 2026, consid. 3.5.3). Un tel risque pourrait également survenir dans un contrat de conseil en placements, aussi soumis aux règles du mandat, dans lequel la décision finale d'investissement revient au client, mais lequel pourrait toutefois être influencé par son conseiller. Si le conflit d'intérêts de ce dernier serait certes moins patent que pour un gérant de fortune, le conseiller en investissement pourrait tout autant être incité à conseiller des produits qui lui généreraient le plus de rétrocessions, mais qui ne répondraient pas aux meilleurs intérêts de son mandant. Un examen des circonstances concrètes pourrait révéler l'existence d'un conflit d'intérêts (arrêt du Tribunal fédéral 4A_149/2025 du 12 janvier 2026, consid. 3.5.4). Dans une relation de simple dépôt bancaire (execution only), le mandataire ne dispose en revanche d'aucune marge de manœuvre sur les avoirs de son client, ne lui fournit aucun conseil en investissement, et se limite en définitive à exécuter les ordres de son mandant (arrêt du Tribunal fédéral 4A_149/2025 du 12 janvier 2026, consid. 3.6). Certes, le paiement de la rétrocession n'est rendu possible qu'en raison de l'ordre passé par l'investisseur à la banque, de sorte que ces deux éléments sont à l'évidence en lien de causalité naturelle direct. Il est de même indéniable que l'intermédiaire financier se retrouve enrichi par cette rémunération. Le seul critère de l'enrichissement du mandataire ne saurait cependant être décisif et examiné indépendamment de celui de l'existence d'un conflit d'intérêt (arrêt du Tribunal fédéral 4A_149/2025 du 12 janvier 2026 consid. 3.6).</w:t>
      </w:r>
    </w:p>
    <w:p>
      <w:r>
        <w:rPr>
          <w:b/>
        </w:rPr>
        <w:t>E. 3.1.7</w:t>
      </w:r>
    </w:p>
    <w:p>
      <w:r>
        <w:t>Il n'est par ailleurs pas possible de définir, de manière générale pour tous les mandats, les situations dans lesquelles une rémunération est en lien intrinsèque avec l'exécution du mandat. Un examen global à l'aune des circonstances concrètes, tenant compte des obligations contractuelles spécifiques, doit au contraire être effectué. Par ailleurs, seule la relation contractuelle entre le prestataire financier et son mandant est pertinente pour l'obligation de restitution; l'accord qui existe entre le promoteur de produits financiers et le distributeur n'entre en considération que s'il risque de remettre en cause l'obligation de ce dernier de préserver les intérêts de son mandant (arrêt du Tribunal fédéral 4A_149/2025 du 12 janvier 2026 consid. 3.6).</w:t>
      </w:r>
    </w:p>
    <w:p>
      <w:r>
        <w:rPr>
          <w:b/>
        </w:rPr>
        <w:t>E. 3.1.8</w:t>
      </w:r>
    </w:p>
    <w:p>
      <w:r>
        <w:t>Récemment, le Tribunal fédéral a relevé que les règles de droit prudentiel, à savoir celles prévues dans la loi fédéral sur les services financiers du 15 juin 2018</w:t>
      </w:r>
    </w:p>
    <w:p>
      <w:r>
        <w:t>- 13/17 -</w:t>
      </w:r>
    </w:p>
    <w:p>
      <w:r>
        <w:t>C/20889/2023 (LSFin; RS 950.1), ne modifient pas l'étendue des obligations auxquelles sont soumis les prestataires financiers, celles-ci figurant déjà explicitement dans le droit en vigueur ou découlant implicitement des obligations de diligence et de fidélité du droit civil (FF 2018 8101, p. 8122, ch. 1.4.2.2; arrêt du Tribunal fédéral 4A_149/2025 du 12 janvier 2026, consid. 3.6.5.3). A l'instar de l'obligation de restitution découlant de l'art. 400 al. 1 CO, l'élément déterminant dans l'art. 26 LSFin est aussi l'existence d'un risque de conflits d'intérêts entre le client et le prestataire de services financiers. La possibilité d'un risque de conflits d'intérêts est par conséquent le critère déterminant pour examiner si une rémunération reçue d'un tiers doit être restituée (arrêt du Tribunal fédéral 4A_149/2025 du 12 janvier 2026 consid. 3.6.5.3).</w:t>
      </w:r>
    </w:p>
    <w:p>
      <w:r>
        <w:rPr>
          <w:b/>
        </w:rPr>
        <w:t>E. 3.1.9</w:t>
      </w:r>
    </w:p>
    <w:p>
      <w:r>
        <w:t>Conformément à l'art. 8 CC, chacun doit, si la loi ne prescrit le contraire, prouver les faits qu'il allègue pour en déduire son droit.</w:t>
      </w:r>
    </w:p>
    <w:p>
      <w:r>
        <w:rPr>
          <w:b/>
        </w:rPr>
        <w:t>E. 3.2</w:t>
      </w:r>
    </w:p>
    <w:p>
      <w:r>
        <w:t>En l'espèce, afin de pouvoir déterminer si l'intimée a une obligation de restitution des rétrocessions qu'elle a perçues, il y a lieu d'examiner si lesdites rétrocessions étaient intrinsèquement liées au mandat liant le client à l'intimée. Cet examen doit être effectué à la lumière des documents contractuels liant le client et l'intimée ainsi que des allégués des parties. Tout d'abord, il n'est pas contesté que le client et l'intimée étaient liés par un contrat de conseil en placements. Il ressort également du dossier que l'intimée a perçu huit rétrocessions de 1% sur la valeur de huit produits structurés acquis par le client en 2016 et 2017 au moyen du système bancaire de l'intimée. Il n'est en revanche pas allégué – et encore moins démontré – que ces investissements auraient été opérés par le client sur conseils de l'intimée, le seul fait qu'un contrat de conseil en placements liait le client à la banque étant insuffisant pour établir ce fait. Ceci d'autant plus compte tenu de la convention d'accès direct à la salle des marchés et de conseils qui prévoyait que la banque fournit "de temps à autre" des conseils au client (cf. article 4, 1er paragraphe de la convention). Lesdits conseils n'étaient par conséquent pas systématiques. Il appartenait ainsi à l'appelante d'alléguer que les huit placements ayant généré la perception par la banque de rétrocessions avaient été exécutés sur conseils de celle-ci et de le prouver, cas échéant, en sollicitant de l'autorité judiciaire qu'elle ordonne à l'intimée de fournir les moyens de preuve nécessaires. Or, non seulement elle n'a pas formulé d'allégués dans ce sens mais elle a en outre renoncé à tous les moyens de preuve qu'elle avait initialement offert, y compris l'audition des parties. L'intimée a en outre donné suite aux demandes formulées par l'appelante dans le cadre de la procédure, de sorte qu'il ne saurait être reprochée à l'intimée une absence de collaboration.</w:t>
      </w:r>
    </w:p>
    <w:p>
      <w:r>
        <w:t>- 14/17 -</w:t>
      </w:r>
    </w:p>
    <w:p>
      <w:r>
        <w:t>C/20889/2023 A défaut de conseils prodigués par l'intimée, il y a lieu de retenir que les huit produits structurés acquis par le client en 2016 et 2017 et ayant engendré la perception des rétrocessions litigieuses l'ont été sans intervention de l'intimée. Dans ces circonstances, et compte tenu que les opérations bancaires litigieuses ont été effectuées au moyen du système bancaire de l'intimée, la question d'un conflit d'intérêts doit être traitée comme un investissement opéré par un client dans le cadre d'un mandat execution only et à la lumière de la récente jurisprudence rendue par le Tribunal fédéral. Les indemnités de distribution, telles que les rétrocessions perçues par l'intimée dans le cadre de la distribution des produits financiers acquis par le client en l'espèce, ne sauraient d'emblée être sujettes à restitution. En effet, ces indemnités ne poursuivent pas uniquement un but de rémunération, mais également d'indemnisation des frais supportés par l'intimée en lien avec le réseau et l'infrastructure qu'elle a dû se constituer pour mettre à disposition ces produits financiers à ses clients. La rémunération qui a été touchée par l'intimée de la part du promoteur de produits financiers était liée à leur distribution pour le compte de ce fournisseur et dépendait donc du nombre de produits placés avec succès auprès d'investisseurs. Cependant, compte tenu de ses obligations contractuelles en lien avec les huit produits structurés litigieux relevées plus haut, qui se limitaient à l'exécution des ordres de son client, il n'est pas établi que la banque intimée pouvait, dans le cas d'espèce, influencer le nombre de produits placés et donc sa rémunération. A défaut d'un risque d'être incitée à ne pas prendre suffisamment en compte les intérêts de son mandant, il ne peut par conséquent pas être retenu que les commissions que l'intimée a perçues étaient en lien intrinsèque avec l'exécution de son mandat. Par le biais de la convention d'accès à la salle des marchés et de conseils (cf. article 6, 4ème paragraphe), le client avait au demeurant été informé de l'ordre de grandeur des rétrocessions et était dès lors libre de comparer l'offre de l'intimée avec celles d'autres prestataires financiers. Ceci est d'autant plus vrai compte tenu du profil sophistiqué du client. A l'instar de ce qu'a retenu le Tribunal, l'intimée ne se trouvant pas dans un conflit d'intérêts, elle n'a pas d'obligation de restituer les rétrocessions qu'elle a perçues sur les huit produits structurés acquis par le client en 2016 et 2017 par le biais du système bancaire de l'intimée. Les normes prudentielles invoquées par l'appelante ne permettent pas d'aboutir à une autre conclusion, la possibilité d'un risque de conflits d'intérêts, niée en l'espèce, étant également le critère déterminant pour examiner si une rémunération reçue d'un tiers doit être restituée.</w:t>
      </w:r>
    </w:p>
    <w:p>
      <w:r>
        <w:t>- 15/17 -</w:t>
      </w:r>
    </w:p>
    <w:p>
      <w:r>
        <w:t>C/20889/2023 Ce qui précède scelle le sort de l'appel. Il n'est dès lors pas nécessaire d'examiner si la renonciation à la restitution des rétrocessions prévues dans la convention d'accès à la salle des marchés et conseils était valable. Le jugement entrepris sera par conséquent confirmé.</w:t>
      </w:r>
    </w:p>
    <w:p>
      <w:r>
        <w:rPr>
          <w:b/>
        </w:rPr>
        <w:t>E. 4.1</w:t>
      </w:r>
    </w:p>
    <w:p>
      <w:r>
        <w:t>Dans la mesure où elle succombe en totalité, l'appelante supportera les frais judiciaires de la procédure d'appel (art. 95 al. 1 let. 1 et al. 2, 104 al. 1 et 106 al. 1 CPC), qui seront fixés à 2'700 fr. (art. 17 et 35 RTFMC [RS/GE E 1 05.10]) et compensés avec l'avance de frais de même montant qu'elle a versée et qui reste acquise à l'Etat de Genève (art. 111 al. 1 CPC).</w:t>
      </w:r>
    </w:p>
    <w:p>
      <w:r>
        <w:rPr>
          <w:b/>
        </w:rPr>
        <w:t>E. 4.2</w:t>
      </w:r>
    </w:p>
    <w:p>
      <w:r>
        <w:t>Elle versera par ailleurs des dépens à l'intimée à hauteur de 3'000 fr. (art. 95 al. 1 let. b et al. 3, 96, 104 al. 1, 106 al. 1 et 111 al. 2 CPC; art. 84, 85 et 90 RTFMC; art. 20 LaCC [RS/GE E 1 05]). * * * * *</w:t>
      </w:r>
    </w:p>
    <w:p>
      <w:r>
        <w:t>- 16/17 -</w:t>
      </w:r>
    </w:p>
    <w:p>
      <w:r>
        <w:t>C/20889/2023 PAR CES MOTIFS, La Chambre civile : A la forme : Déclare recevable l'appel interjeté le 2 juin 2025 par A______ SA contre le jugement JTPI/5016/2025 rendu le 28 avril 2025 par le Tribunal de première instance dans la cause C/20889/2023. Au fond : Confirme le jugement entrepris. Déboute les parties de toutes autres conclusions. Sur les frais d'appel : Arrête les frais judiciaires d'appel à 2'700 fr., les met à la charge de A______ SA et les compense avec l'avance de frais de même montant qu'elle a fournie et qui demeure acquise à l'Etat de Genève. Condamne A______ SA à verser à B______ 3'000 fr. à titre de dépens d'appel. Siégeant : Madame Jocelyne DEVILLE-CHAVANNE, présidente; Madame Verena PEDRAZZINI RIZZI, Madame Nathalie LANDRY, juges; Madame Jessica ATHMOUNI, greffière.</w:t>
      </w:r>
    </w:p>
    <w:p>
      <w:r>
        <w:t>- 17/17 -</w:t>
      </w:r>
    </w:p>
    <w:p>
      <w:r>
        <w:t>C/20889/2023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