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ACJC/436/2022 vom 24. Februar 2022</w:t>
      </w:r>
    </w:p>
    <w:p>
      <w:r>
        <w:t>GE Cour de justice, 2022-02-24, FR</w:t>
      </w:r>
    </w:p>
    <w:p>
      <w:r>
        <w:rPr>
          <w:b/>
        </w:rPr>
        <w:t xml:space="preserve">Quelle: </w:t>
      </w:r>
      <w:r>
        <w:t>https://mcp.opencaselaw.ch/entscheid/ge_gerichte_ACJC_436_2022</w:t>
      </w:r>
    </w:p>
    <w:p>
      <w:r>
        <w:t>FR: GE_GERICHTE ACJC/436/2022 du 24 février 2022</w:t>
      </w:r>
    </w:p>
    <w:p>
      <w:r>
        <w:t>IT: GE_GERICHTE ACJC/436/2022 del 24 febbraio 2022</w:t>
      </w:r>
    </w:p>
    <w:p>
      <w:pPr>
        <w:pStyle w:val="Heading2"/>
      </w:pPr>
      <w:r>
        <w:t>Volltext</w:t>
      </w:r>
    </w:p>
    <w:p>
      <w:r>
        <w:t>Le présent arrêt est communiqué aux parties par plis recommandés du 29 mars 2022.</w:t>
      </w:r>
    </w:p>
    <w:p>
      <w:r>
        <w:t>REPUBLIQUE ET</w:t>
      </w:r>
    </w:p>
    <w:p>
      <w:r>
        <w:t>CANTON DE GENEVE POUVOIR JUDICIAIRE C/10793/2020 ACJC/436/2022 ARRÊT DE LA COUR DE JUSTICE Chambre civile DU MARDI 29 MARS 2022</w:t>
      </w:r>
    </w:p>
    <w:p>
      <w:r>
        <w:t>Entre Monsieur A______, domicilié ______, République de Maurice, appelant d'un jugement rendu par la 11ème Chambre du Tribunal de première instance de ce canton le 24 février 2022, comparant par Me Patrick MOUTTET, avocat, ATHENA AVOCATS, boulevard des Tranchées 16, 1206 Genève, en l'Etude duquel il fait élection de domicile, et B______, sise ______ (GE), intimée, comparant par Me C______, avocat, ______ Genève, en l'Etude duquel elle fait élection de domicile.</w:t>
      </w:r>
    </w:p>
    <w:p>
      <w:r>
        <w:t>- 2/4 -</w:t>
      </w:r>
    </w:p>
    <w:p>
      <w:r>
        <w:t>C/10793/2020 Attendu, EN FAIT, que par ordonnance du 24 février 2022, le Tribunal de première instance a condamné A______ à fournir, soit en espèces, soit sous forme de garantie d'une banque établie en Suisse ou d'une société d'assurance autorisée à exercer en Suisse, des sûretés en garantie des dépens d'un montant de 228'740 fr. (ch. 1), dans un délai de 30 jours (ch. 2) et dit qu'à défaut de paiement de ces sûretés dans le délai prescrit et après un éventuel délai supplémentaire octroyé à cette fin, la demande reconventionnelle serait déclarée irrecevable (ch. 3); Que par acte expédié au greffe de la Cour le 14 mars 2022, A______ a formé recours contre cette ordonnance, concluant à ce que le montant des sûretés soit fixé à un montant n'excédant pas 160'000 fr.; Qu'il a conclu, préalablement, à l'octroi de l'effet suspensif à son recours; qu'il a invoqué que ne pas accorder ledit effet suspensif viderait le recours de son objet et que [la banque] B______ n'en subirait pas d'inconvénients; Qu'invitée à se déterminer, B______ s'en est rapportée à justice sur la demande d'effet suspensif; Considérant, EN DROIT, que la Cour est saisie d'un recours (art. 103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défaut de versement des sûretés en garantie des dépens entraînerait l'irrecevabilité de la demande reconventionnelle, et donc un préjudice qui peut être qualifié de difficilement réparable pour le recourant;</w:t>
      </w:r>
    </w:p>
    <w:p>
      <w:r>
        <w:t>- 3/4 -</w:t>
      </w:r>
    </w:p>
    <w:p>
      <w:r>
        <w:t>C/10793/2020 Qu'à l'inverse l'octroi de l'effet suspensif ne causera vraisemblablement pas de préjudice difficilement réparable à l'intimée, qui n'en a pas invoqué et ne s'est pas opposé à la requête; Qu'au vu de ce qui précède, la requête tendant à suspendre le caractère exécutoire de l'ordonnance attaquée sera admise; Qu'il sera statué sur les frais et dépens liés à la présente décision avec la décision au fond (art. 104 al. 3 CPC). * * * * *</w:t>
      </w:r>
    </w:p>
    <w:p>
      <w:r>
        <w:t>- 4/4 -</w:t>
      </w:r>
    </w:p>
    <w:p>
      <w:r>
        <w:t>C/10793/2020 PAR CES MOTIFS, La Chambre civile : Statuant sur requête de suspension du caractère exécutoire de l'ordonnance entreprise : Admet la requête formée par A______ tendant à suspendre le caractère exécutoire de l'ordonnance OTPI/103/2022 rendue le 24 février 2022 par le Tribunal de première instance dans la cause C/10793/2020-11. Dit qu'il sera statué sur les frais liés à la présente décision dans l'arrêt rendu sur le fond. Siégeant : Monsieur Laurent RIEBEN, président; Madame Sandra CARRIER, greffière.</w:t>
      </w:r>
    </w:p>
    <w:p>
      <w:r>
        <w:t>Le président : Laurent RIEBEN</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