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ACJC/436/2019 vom 25. März 2019</w:t>
      </w:r>
    </w:p>
    <w:p>
      <w:r>
        <w:t>GE Cour de justice, 2019-03-25, FR</w:t>
      </w:r>
    </w:p>
    <w:p>
      <w:r>
        <w:rPr>
          <w:b/>
        </w:rPr>
        <w:t xml:space="preserve">Quelle: </w:t>
      </w:r>
      <w:r>
        <w:t>https://mcp.opencaselaw.ch/entscheid/ge_gerichte_ACJC_436_2019</w:t>
      </w:r>
    </w:p>
    <w:p>
      <w:r>
        <w:t>FR: GE_GERICHTE ACJC/436/2019 du 25 mars 2019</w:t>
      </w:r>
    </w:p>
    <w:p>
      <w:r>
        <w:t>IT: GE_GERICHTE ACJC/436/2019 del 25 marzo 2019</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l’espèce, les prétentions des appelantes s’élèvent à 1'124'156 fr. 60, de sorte que la voie de l’appel est dès lors ouverte.</w:t>
      </w:r>
    </w:p>
    <w:p>
      <w:r>
        <w:rPr>
          <w:b/>
        </w:rPr>
        <w:t>E. 1.2</w:t>
      </w:r>
    </w:p>
    <w:p>
      <w:r>
        <w:t>En vertu de l'article 311 al. 1 CPC, l'appel, écrit et motivé, est introduit auprès de l'instance d'appel dans les trente jours à compter de la notification de la décision motivée ou de la notification postérieure de la motivation. Le délai d’appel est suspendu du 18 décembre au 2 janvier inclus (art. 145 al. 1 let. c CPC).</w:t>
      </w:r>
    </w:p>
    <w:p>
      <w:r>
        <w:t>Expédié le 22 janvier 2018, le mémoire d’appel a dès lors été déposé en temps utile. Déposé selon la forme requise, il est ainsi recevable.</w:t>
      </w:r>
    </w:p>
    <w:p>
      <w:r>
        <w:rPr>
          <w:b/>
        </w:rPr>
        <w:t>E. 1.3</w:t>
      </w:r>
    </w:p>
    <w:p>
      <w:r>
        <w:t>L’appel peut être formé pour violation de la loi (art. 310 let. a CPC) ou constatation inexacte des faits (art. 310 let. b CPC).</w:t>
      </w:r>
    </w:p>
    <w:p>
      <w:r>
        <w:rPr>
          <w:b/>
        </w:rPr>
        <w:t>E. 1.4</w:t>
      </w:r>
    </w:p>
    <w:p>
      <w:r>
        <w:t>Selon l'art.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w:t>
      </w:r>
    </w:p>
    <w:p>
      <w:r>
        <w:t>- 4/6 -</w:t>
      </w:r>
    </w:p>
    <w:p>
      <w:r>
        <w:t>C/13291/2017</w:t>
      </w:r>
    </w:p>
    <w:p>
      <w:r>
        <w:t>Dans la présente cause, les appelantes produisent auprès de l’instance d’appel un arrêt rendu le 1er décembre 2017, reçu le 13 décembre 2017, et une ordonnance de reprise de procédure rendue dans une autre cause du 2 janvier 2018. Indépendamment de leur pertinence, ces pièces sont recevables dès lors qu’elles ne pouvaient être produites plus tôt. L'extrait du Registre du commerce produit le 29 mars 2018 est un document accessible sur internet et contient donc des faits notoires (arrêt du Tribunal fédéral 4A______/2013 du ______ 2013 consid. 4.3). Partant, ce document est également recevable.</w:t>
      </w:r>
    </w:p>
    <w:p>
      <w:r>
        <w:t>Les autres pièces produites sont à considérer comme tardives, et doivent être écartées de la procédure, ainsi que les allégués de fait y afférant.</w:t>
      </w:r>
    </w:p>
    <w:p>
      <w:r>
        <w:rPr>
          <w:b/>
        </w:rPr>
        <w:t>E. 2</w:t>
      </w:r>
    </w:p>
    <w:p>
      <w:r>
        <w:t>De par la loi l’appel suspend la force de chose jugée et le caractère exécutoire de la décision (art. 315 al. 1 CPC). La Cour de céans n’a dès lors pas à statuer sur ce point.</w:t>
      </w:r>
    </w:p>
    <w:p>
      <w:r>
        <w:rPr>
          <w:b/>
        </w:rPr>
        <w:t>E. 3</w:t>
      </w:r>
    </w:p>
    <w:p>
      <w:r>
        <w:t>Les appelantes contestent le jugement attaqué en tant que le Tribunal a dénié sa compétence ratione materiae.</w:t>
      </w:r>
    </w:p>
    <w:p>
      <w:r>
        <w:rPr>
          <w:b/>
        </w:rPr>
        <w:t>E. 3.1</w:t>
      </w:r>
    </w:p>
    <w:p>
      <w:r>
        <w:t>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w:t>
      </w:r>
    </w:p>
    <w:p>
      <w:r>
        <w:t>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w:t>
      </w:r>
    </w:p>
    <w:p>
      <w:r>
        <w:rPr>
          <w:b/>
        </w:rPr>
        <w:t>E. 3.1.1</w:t>
      </w:r>
    </w:p>
    <w:p>
      <w:r>
        <w:t>L'art. 89 al. 1 let. a LOJ de la nouvelle loi sur l'organisation judiciaire du 26 septembre 2010, entrée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w:t>
      </w:r>
    </w:p>
    <w:p>
      <w:r>
        <w:t>D'une manière générale, la Chambre des baux et loyers a considéré que la disposition de la loi d'organisation judiciaire fondant la compétence matérielle du Tribunal des baux et loyers devait être interprétée largement, et de manière à s'harmoniser avec les règles fédérales de procédure consacrées aux art. 274 et ss aCO. Elle s'est ainsi référée à la jurisprudence du Tribunal fédéral au sujet de</w:t>
      </w:r>
    </w:p>
    <w:p>
      <w:r>
        <w:t>- 5/6 -</w:t>
      </w:r>
    </w:p>
    <w:p>
      <w:r>
        <w:t>C/13291/2017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w:t>
      </w:r>
    </w:p>
    <w:p>
      <w:r>
        <w:rPr>
          <w:b/>
        </w:rPr>
        <w:t>E. 3.1.2</w:t>
      </w:r>
    </w:p>
    <w:p>
      <w:r>
        <w:t>En l’espèce, les premiers juges ont considéré à juste titre que la juridiction des baux et loyers n’était pas compétente à raison de la matière pour connaître de la demande formée par les appelantes. En effet, et comme le reconnaissent les appelantes, aucun contrat de bail à loyer ne les lie aux intimés. Le fait que ces derniers aient été les administrateurs de la société locataire ne change rien à ce qui précède, de même que le fait qu’ils aient été propriétaires de toutes les actions formant le capital de ladite société. Les appelantes soulignent d’ailleurs elles-mêmes dans leur mémoire d’appel que les agissements qui sont reprochés aux intimés n’ont été effectués qu’en tant qu’organe de la personne morale titulaire du bail conclu le 29 janvier 2007.</w:t>
      </w:r>
    </w:p>
    <w:p>
      <w:r>
        <w:t>Les appelantes ne soutiennent pas davantage qu’un contrat de sous-location aurait été conclu entre la société F______ SA et les intimés.</w:t>
      </w:r>
    </w:p>
    <w:p>
      <w:r>
        <w:t>Dans ces conditions la relation juridique entre les appelantes et les parties intimées ne relève pas du contrat de bail. Même en interprétant largement la notion de «litiges relatifs aux baux et loyers», il n’est pas possible de lier les prétentions formulées à l’encontre des intimés à un état de fait relevant du droit du bail.</w:t>
      </w:r>
    </w:p>
    <w:p>
      <w:r>
        <w:t>Partant, le jugement querellé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C/13291/2017 PAR CES MOTIFS, La Chambre des baux et loyers : A la forme : Déclare recevable l'appel interjeté le 22 janvier 2018 par A______ et B______ contre le jugement JTBL/1167/2017 rendu le 18 décembre 2017 par le Tribunal des baux et loyers dans la cause C/13291/2017-1-OOD. Au fond : Confirme le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