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ACJC/430/2023 vom 21. September 2021</w:t>
      </w:r>
    </w:p>
    <w:p>
      <w:r>
        <w:t>GE Cour de justice, 2021-09-21, FR</w:t>
      </w:r>
    </w:p>
    <w:p>
      <w:r>
        <w:rPr>
          <w:b/>
        </w:rPr>
        <w:t xml:space="preserve">Quelle: </w:t>
      </w:r>
      <w:r>
        <w:t>https://mcp.opencaselaw.ch/entscheid/ge_gerichte_ACJC_430_2023</w:t>
      </w:r>
    </w:p>
    <w:p>
      <w:r>
        <w:t>FR: GE_GERICHTE ACJC/430/2023 du 21 septembre 2021</w:t>
      </w:r>
    </w:p>
    <w:p>
      <w:r>
        <w:t>IT: GE_GERICHTE ACJC/430/2023 del 21 settembre 2021</w:t>
      </w:r>
    </w:p>
    <w:p>
      <w:pPr>
        <w:pStyle w:val="Heading2"/>
      </w:pPr>
      <w:r>
        <w:t>Erwägungen</w:t>
      </w:r>
    </w:p>
    <w:p>
      <w:r>
        <w:rPr>
          <w:b/>
        </w:rPr>
        <w:t>E. 1</w:t>
      </w:r>
    </w:p>
    <w:p>
      <w:r>
        <w:t>La Cour de justice est compétente pour se prononcer sur la requête d’adoption, la requérante étant domiciliée à Genève (art. 268 al. 1 CC ; art. 120 al. 1 let. c LOJ). Dans la mesure où l’adoptée est de nationalité suisse, il s’agit d’une adoption interne. En l'espèce, l'adoptante, de même que l’adoptée, sont domiciliées à Genève.</w:t>
      </w:r>
    </w:p>
    <w:p>
      <w:r>
        <w:rPr>
          <w:b/>
        </w:rPr>
        <w:t>E. 2.1</w:t>
      </w:r>
    </w:p>
    <w:p>
      <w:r>
        <w:t>Un enfant mineur peut être adopté si le ou les adoptants lui ont fourni des soins et ont pourvu à son éducation pendant au moins un an et si toutes les circonstances permettent de prévoir que l'établissement d'un lien de filiation servira le bien de l'enfant sans porter une atteinte inéquitable à la situation d'autres enfants du ou des adoptants (art. 264 al.1 CC). Une adoption n'est possible que si le ou les adoptants, vu leur âge et leur situation personnelle, paraissent à même de prendre l'enfant en charge jusqu'à sa majorité (art. 264 al. 2 CC). Une personne peut adopter l'enfant de son partenaire enregistré (art. 264c al. 1 ch. 2 CC). Le couple doit faire ménage commun depuis au moins trois ans (art. 264c al. 2 CC). La différence d'âge entre l'enfant et le ou les adoptants ne peut pas être inférieure à seize ans ni supérieure à 45 ans (art. 264d al. 1 CC). L'adoption requiert le consentement du père et de la mère de l'enfant (art. 265a al. 1 CC). Il peut être fait abstraction du consentement d’un des parents lorsqu’il est inconnu, absent depuis longtemps sans résidence connue ou incapable de discernement de manière durable (art. 265c CC). Si l’enfant est capable de discernement, son consentement à l’adoption est requis (art. 265 al. 1 CC).</w:t>
      </w:r>
    </w:p>
    <w:p>
      <w:r>
        <w:t>- 4/6 -</w:t>
      </w:r>
    </w:p>
    <w:p>
      <w:r>
        <w:t>C/1492/2022</w:t>
      </w:r>
    </w:p>
    <w:p>
      <w:r>
        <w:rPr>
          <w:b/>
        </w:rPr>
        <w:t>E. 2.2</w:t>
      </w:r>
    </w:p>
    <w:p>
      <w:r>
        <w:t>En l'espèce, l'adoptante vit avec sa partenaire enregistrée, et mère de l’enfant B______, depuis plus de trois ans, le lien de partenariat ayant été enregistré en 2016, les partenaires alléguant vivre ensemble depuis 2014. La différence d’âge entre l’adoptante et l’adoptée est également respectée. L’adoptante a pris soin de la mineure depuis sa naissance, lui prodiguant des soins et assurant son éducation au même titre que sa mère biologique et dispose d’une situation financière permettant de pourvoir à l’entretien de l’adoptée jusqu’à sa majorité. Le rapport d’enquête fait état du fait que l’enfant se développe harmonieusement et entretient des rapports filiaux avec l’adoptante, similaires à ceux qui la lient à sa mère biologique. Cette dernière a donné son consentement à l’adoption de son enfant par sa partenaire enregistrée. Aucun père n’étant inscrit à l’Etat civil, l’enfant ayant été conçu avec le matériel génétique d’un donneur anonyme, il n’y a pas d’autre consentement à requérir. Il ressort en outre du rapport d’évaluation sociale que l’adoption est dans l’intérêt de la mineure, de sorte que cette condition est également remplie et qu’elle ne porte pas préjudice à l’intérêt de la fille aînée du couple. Il sera par conséquent donné une suite favorable à la requête.</w:t>
      </w:r>
    </w:p>
    <w:p>
      <w:r>
        <w:rPr>
          <w:b/>
        </w:rPr>
        <w:t>E. 3.1</w:t>
      </w:r>
    </w:p>
    <w:p>
      <w:r>
        <w:t>L’enfant acquiert le statut juridique d’un enfant du ou des parents adoptifs (art. 267 al. 1 CC). Les liens de filiation ne sont pas rompus à l’égard de la personne avec laquelle le parent adoptif est lié par un partenariat enregistré (art. 267 al. 3 ch. 2 CC).</w:t>
      </w:r>
    </w:p>
    <w:p>
      <w:r>
        <w:t>Le nom de l’enfant est déterminé par les dispositions relatives aux effets de la filiation. Celles-ci s’appliquent par analogie en cas d’adoption de l’enfant par le partenaire enregistré (art. 267 al. 3 ch. 2 CC).</w:t>
      </w:r>
    </w:p>
    <w:p>
      <w:r>
        <w:t>L’enfant de conjoints qui portent des noms différents acquiert celui de leurs deux noms de célibataire qu’ils ont choisi de donner à leurs enfants communs à la conclusion du mariage (art. 270 al. 1 CC).</w:t>
      </w:r>
    </w:p>
    <w:p>
      <w:r>
        <w:t>L’enfant acquiert le droit de cité cantonal et communal du parent dont il porte le nom (art. 271 al. 1 CC).</w:t>
      </w:r>
    </w:p>
    <w:p>
      <w:r>
        <w:rPr>
          <w:b/>
        </w:rPr>
        <w:t>E. 3.2</w:t>
      </w:r>
    </w:p>
    <w:p>
      <w:r>
        <w:t>En l’espèce, les liens de filiation entre l’adoptée et sa mère biologique ne seront pas rompus. L’adoptée portera le nom de famille [de] A______, nom que les partenaires enregistrées ont choisi de donner à leurs enfants communs et que porte déjà la mineure H______, fille du couple. L’adoption aura un effet sur le droit de cité de l’adoptée qui sera dorénavant originaire de D______ (Berne).</w:t>
      </w:r>
    </w:p>
    <w:p>
      <w:r>
        <w:t>- 5/6 -</w:t>
      </w:r>
    </w:p>
    <w:p>
      <w:r>
        <w:t>C/1492/2022</w:t>
      </w:r>
    </w:p>
    <w:p>
      <w:r>
        <w:rPr>
          <w:b/>
        </w:rPr>
        <w:t>E. 4</w:t>
      </w:r>
    </w:p>
    <w:p>
      <w:r>
        <w:t>Les frais de la procédure, arrêtés à 1'000 fr., sont mis à la charge de la requérante; ils sont entièrement couverts par l'avance de frais de même montant, laquelle est acquise à l'Etat de Genève (art. 2 RTFMC; art. 98, 101 et 111 CPC).</w:t>
      </w:r>
    </w:p>
    <w:p>
      <w:r>
        <w:t>* * * * *</w:t>
      </w:r>
    </w:p>
    <w:p>
      <w:r>
        <w:t>- 6/6 -</w:t>
      </w:r>
    </w:p>
    <w:p>
      <w:r>
        <w:t>C/1492/2022 PAR CES MOTIFS, La Chambre civile : Prononce l'adoption de la mineure B______, née le ______ 2020 à G______ (Genève), originaire de Genève, par A______, née le ______ 1977 à Genève, originaire de D______ (Berne). Dit que les liens de filiation entre B______ et sa mère, C______, née le ______ 1987 [à] E______ (Espagne), originaire de Genève, ne sont pas rompus. Dit que l’adoptée portera à l’avenir le nom [de] A______ et sera originaire de D______ (Berne). Arrête les frais de la procédure à 1'000 fr., les met à la charge de A______ et les compense avec l'avance de frais versée,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