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ACJC/429/2026 vom 10. März 2026</w:t>
      </w:r>
    </w:p>
    <w:p>
      <w:r>
        <w:t>GE Cour de justice, 2026-03-10, FR</w:t>
      </w:r>
    </w:p>
    <w:p>
      <w:r>
        <w:rPr>
          <w:b/>
        </w:rPr>
        <w:t xml:space="preserve">Quelle: </w:t>
      </w:r>
      <w:r>
        <w:t>https://mcp.opencaselaw.ch/entscheid/ge_gerichte_ACJC_429_2026</w:t>
      </w:r>
    </w:p>
    <w:p>
      <w:r>
        <w:t>FR: GE_GERICHTE ACJC/429/2026 du 10 mars 2026</w:t>
      </w:r>
    </w:p>
    <w:p>
      <w:r>
        <w:t>IT: GE_GERICHTE ACJC/429/2026 del 10 marzo 2026</w:t>
      </w:r>
    </w:p>
    <w:p>
      <w:pPr>
        <w:pStyle w:val="Heading2"/>
      </w:pPr>
      <w:r>
        <w:t>Erwägungen</w:t>
      </w:r>
    </w:p>
    <w:p>
      <w:r>
        <w:rPr>
          <w:b/>
        </w:rPr>
        <w:t>E. 1.1</w:t>
      </w:r>
    </w:p>
    <w:p>
      <w:r>
        <w:t>Selon l'art. 149 CPC, le Tribunal statue définitivement sur la demande de restitution, à moins que le refus de celle-ci n'entraîne la perte définitive du droit.</w:t>
      </w:r>
    </w:p>
    <w:p>
      <w:r>
        <w:t>Le refus de la restitution est une décision finale lorsque le tribunal de première instance a clos la procédure et que la requête de la partie défaillante tend à la faire rouvrir. Ce refus met fin à une instance spécifique, ouverte par la demande de restitution; il est donc une décision finale aux termes de l'art. 308 al. 1 let. a CPC. L'appel est ainsi recevable si la valeur litigieuse minimale est atteinte (ATF 139 III 478 du 7 novembre 2013 consid. 4 à 7).</w:t>
      </w:r>
    </w:p>
    <w:p>
      <w:r>
        <w:t>- 5/12 -</w:t>
      </w:r>
    </w:p>
    <w:p>
      <w:r>
        <w:t>C/15176/2025</w:t>
      </w:r>
    </w:p>
    <w:p>
      <w:r>
        <w:rPr>
          <w:b/>
        </w:rPr>
        <w:t>E. 1.2</w:t>
      </w:r>
    </w:p>
    <w:p>
      <w:r>
        <w:t>En l'espèce, le refus de la demande de restitution du délai de motivation du jugement du 31 juillet 2025, concrétisé par jugement du 9 décembre 2025, met fin à l'instance et doit par conséquent être considéré comme une décision finale.</w:t>
      </w:r>
    </w:p>
    <w:p>
      <w:r>
        <w:t>La valeur litigieuse correspond au capital social de l'appelante, soit 50'000 fr. Ce montant étant supérieur à 10'000 fr., la décision querellée est susceptible d'appel (art. 308 CPC).</w:t>
      </w:r>
    </w:p>
    <w:p>
      <w:r>
        <w:t>L'appel, déposé dans les forme et délai légaux est recevable (art. 311 al. 1 et 314 al. 1 CPC).</w:t>
      </w:r>
    </w:p>
    <w:p>
      <w:r>
        <w:rPr>
          <w:b/>
        </w:rPr>
        <w:t>E. 2</w:t>
      </w:r>
    </w:p>
    <w:p>
      <w:r>
        <w:t>L'appelante a produit des pièces nouvelles.</w:t>
      </w:r>
    </w:p>
    <w:p>
      <w:r>
        <w:t>2.1.1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2.1.2 A teneur de l'art. 151 CPC, les faits notoires ou notoirement connus du tribunal et les règles d’expérience généralement reconnues ne doivent pas être prouvés.</w:t>
      </w:r>
    </w:p>
    <w:p>
      <w:r>
        <w:t>Font notamment partie des faits notoirement connus du tribunal le résultat de l'administration des preuves dans une précédente procédure entre les mêmes parties, mais aussi les faits dont le juge a eu connaissance de par une tierce procédure et qui s'inscrivent dans le thème du procès délimité par les allégués des parties. A cet égard il faut respecter le secret de fonction, qui fixe des limites à l'utilisation de connaissances résultant d'autres procès, ainsi que le droit des parties d'être entendues (arrêt du Tribunal fédéral 4A_37/2014 du 27 juin 2014 consid. 2.4.1).</w:t>
      </w:r>
    </w:p>
    <w:p>
      <w:r>
        <w:rPr>
          <w:b/>
        </w:rPr>
        <w:t>E. 2.2</w:t>
      </w:r>
    </w:p>
    <w:p>
      <w:r>
        <w:t>En l'espèce, les pièces nouvelles produites par l'appelante sont une copie d'une demande en paiement déposée le 30 octobre 2024 par une société [du groupe] I______ contre C______, ainsi que plusieurs actes en lien avec cette procédure. Ces documents ne constituent pas des faits notoires car ils ne concernent ni une précédente procédure entre les mêmes parties, ni ne s'inscrivent dans le thème du procès délimité par les allégués des parties.</w:t>
      </w:r>
    </w:p>
    <w:p>
      <w:r>
        <w:t>Les pièces nouvelles 20 à 24 déposées par l'appelante sont toutes antérieures au</w:t>
      </w:r>
    </w:p>
    <w:p>
      <w:r>
        <w:rPr>
          <w:b/>
        </w:rPr>
        <w:t>E. 3</w:t>
      </w:r>
    </w:p>
    <w:p>
      <w:r>
        <w:t>Le Tribunal a retenu dans son jugement du 9 décembre 2025 que la décision du 31 juillet 2025 avait été valablement notifiée par voie édictale le ______ août 2025, de sorte que le délai pour demander sa motivation expirait le ______ août 2025. La demande formée le 3 novembre 2025 était dès lors tardive. Les motifs invoqués par l'appelante pour expliquer le défaut, à savoir l'ignorance qu'elle ne disposait pas d'un siège en Suisse et le fait qu'elle pensait que la désignation d'organes de gestion en France palliait toute carence dans son organisation en Suisse, ne remplissaient pas les conditions posées par la jurisprudence pour admettre la restitution du délai pour demander la motivation. A cela s'ajoutait que la demande de restitution n'avait pas été formée dans le délai de 10 jours dès la connaissance du jugement du 31 juillet 2025 prévu par la loi, puisque l'administrateur de l'appelante avait eu connaissance de ce dernier le 6 octobre 2025 et n'avait déposé sa demande de restitution que le 3 novembre 2025.</w:t>
      </w:r>
    </w:p>
    <w:p>
      <w:r>
        <w:t>L'appelante fait valoir que son administrateur n'a pas eu connaissance de la procédure en carence à son encontre avant le 6 octobre 2025. Elle pensait être "sous protection de la procédure de redressement judiciaire en cours en France". Aucune faute ne pouvait être reprochée à l'appelante, ce d'autant plus que la situation ne lésait aucun tiers. Le jugement du 31 juillet 2025 aurait dû être notifié à l'adresse privée de son administrateur, connue du Registre du commerce. Le Tribunal connaissait également cette adresse car C______ était partie à une autre procédure pendante par devant-lui. Les conditions de l'art. 141 al. 1 CPC n'étaient pas réalisées car le Tribunal aurait dû faire des recherches pour identifier l'adresse de C______ en France.</w:t>
      </w:r>
    </w:p>
    <w:p>
      <w:r>
        <w:t>3.1.1 Selon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2). Si une décision a été communiquée, la restitution ne peut être requise que dans les six mois qui suivent l’entrée en force de la décision (al. 3).</w:t>
      </w:r>
    </w:p>
    <w:p>
      <w:r>
        <w:t>Le destinataire d’une notification par publication selon l’art. 141 CPC ne peut se prévaloir du fait qu’il n’aurait pas eu connaissance du texte publié ; son ignorance ne constitue dès lors pas un empêchement non fautif (arrêt du Tribunal fédéral 4A_368/2012 du 17 juillet 2012 consid. 1).</w:t>
      </w:r>
    </w:p>
    <w:p>
      <w:r>
        <w:t>La simple méconnaissance des règles de droit ne constitue pas, sous réserve de circonstances particulières, un empêchement non fautif (arrêt du Tribunal fédéral 5A_969/2018 du 6 mai 2019 consid. 2.3.3).</w:t>
      </w:r>
    </w:p>
    <w:p>
      <w:r>
        <w:t>3.1.2 Selon l'art. 141 al. 1 let. a CPC, la notification est effectuée par publication dans la feuille officielle cantonale ou dans la Feuille officielle suisse du commerce</w:t>
      </w:r>
    </w:p>
    <w:p>
      <w:r>
        <w:t>- 7/12 -</w:t>
      </w:r>
    </w:p>
    <w:p>
      <w:r>
        <w:t>C/15176/2025 lorsque le lieu de séjour du destinataire est inconnu et n’a pu être déterminé en dépit des recherches qui peuvent raisonnablement être exigées.</w:t>
      </w:r>
    </w:p>
    <w:p>
      <w:r>
        <w:t>3.1.3 A teneur de l'art. 716a al. 1 CO, le conseil d’administration est, notamment, tenu d'exercer la haute direction de la société, d'établir les instructions nécessaires, de fixer son organisation, de nommer et révoquer les personnes chargées de la gestion et de la représentation et d'exercer la haute surveillance sur lesdites personnes pour s’assurer notamment qu’elles observent la loi, les statuts, les règlements et les instructions données.</w:t>
      </w:r>
    </w:p>
    <w:p>
      <w:r>
        <w:t>Selon l'art. 717 al. 1 CO, les membres du conseil d’administration, de même que les tiers qui s’occupent de la gestion, exercent leurs attributions avec toute la diligence nécessaire et veillent fidèlement aux intérêts de la société.</w:t>
      </w:r>
    </w:p>
    <w:p>
      <w:r>
        <w:t>Les administrateurs d'une société anonyme doivent déployer toute la diligence nécessaire dans l’exercice de leurs attributions. En particulier, au moment où il lui est proposé d’être nommée, la personne concernée devra se demander, avec toute la diligence requise, si elle peut accepter la mission que l’on souhaite lui confier compte tenu, notamment, de ses compétences et de sa disponibilité. Cette obligation concerne toutes les attributions des administrateurs énoncées à l'art. 716a al. 1 CO. La diligence «nécessaire» dépend des circonstances et se mesure à l’aune du comportement d'un administrateur raisonnable placé dans les mêmes circonstances (PETER/BIRCHLER, Commentaire romand, 2024, n. 3 et 8 ad art. 717 CO).</w:t>
      </w:r>
    </w:p>
    <w:p>
      <w:r>
        <w:t>Selon l'art. 718 al. 4 CO, la société doit pouvoir être représentée par une personne domiciliée en Suisse. Cette personne doit être un membre du conseil d’administration ou un directeur.</w:t>
      </w:r>
    </w:p>
    <w:p>
      <w:r>
        <w:t>3.1.4 Aux termes de l'art. 179 CPC, les registres publics font foi des faits qu’ils attestent tant qu’il n’a pas été établi que leur contenu est inexact.</w:t>
      </w:r>
    </w:p>
    <w:p>
      <w:r>
        <w:t>A teneur de l'art. 41 al. 1 let c ORC, l’inscription au registre du commerce d’une société anonyme mentionne son siège et son domicile.</w:t>
      </w:r>
    </w:p>
    <w:p>
      <w:r>
        <w:t>3.1.5 Les principes généraux commandent d’assimiler d’éventuels manquements des représentants et conseils ou de leurs auxiliaires à ceux des plaideurs eux-mêmes. Une partie doit ainsi se laisser opposer la faute de son représentant (ATF 119 II 86 consid. 2, JdT 1994 I 55, SJ 1993, 237; arrêt du Tribunal fédéral5A_393/2013 du 17 octobre 2013 consid. 2.4).</w:t>
      </w:r>
    </w:p>
    <w:p>
      <w:r>
        <w:t>3.1.6 Lorsque la motivation de l'appel ne fait que renvoyer aux moyens soulevés en première instance, elle ne satisfait pas aux exigences de l'art. 311 al. 1 CPC et l'instance d'appel ne peut entrer en matière (arrêt du Tribunal fédéral 4A_621/2021 du 30 août 2022 consid. 3.1).</w:t>
      </w:r>
    </w:p>
    <w:p>
      <w:r>
        <w:t>- 8/12 -</w:t>
      </w:r>
    </w:p>
    <w:p>
      <w:r>
        <w:t>C/15176/2025</w:t>
      </w:r>
    </w:p>
    <w:p>
      <w:r>
        <w:rPr>
          <w:b/>
        </w:rPr>
        <w:t>E. 3.2</w:t>
      </w:r>
    </w:p>
    <w:p>
      <w:r>
        <w:t>En l'espèce, contrairement à ce que fait valoir l'appelante, le Tribunal était fondé à lui notifier par voie édictale le jugement du 31 juillet 2025.</w:t>
      </w:r>
    </w:p>
    <w:p>
      <w:r>
        <w:t>L'extrait du Registre du commerce fourni par l'Office dudit registre à l'appui de sa demande attestait en effet de ce que l'appelante n'avait pas d'adresse connue. Le Tribunal n'avait aucune raison de mettre en doute l'exactitude de cette inscription, étant rappelé que l'art. 179 CPC prévoit que les registres publics font foi des faits qu’ils attestent tant qu’il n’a pas été établi que leur contenu est inexact.</w:t>
      </w:r>
    </w:p>
    <w:p>
      <w:r>
        <w:t>Il est au demeurant établi que l'inscription était exacte puisque l'appelante n'avait effectivement plus d'adresse depuis octobre 2024.</w:t>
      </w:r>
    </w:p>
    <w:p>
      <w:r>
        <w:t>Ni le Registre du commerce, ni le Tribunal n'étaient tenus d'effectuer des recherches supplémentaires pour déterminer l'adresse à l'étranger de l'administrateur de l'appelante.</w:t>
      </w:r>
    </w:p>
    <w:p>
      <w:r>
        <w:t>Cette dernière ne produit par ailleurs aucune pièce à l'appui de son allégation selon laquelle l'Office du Registre du commerce était en possession de l'adresse française de son administrateur, de sorte qu'il n'est pas nécessaire d'examiner la question de savoir si une sommation aurait dû ou non être notifiée à cette adresse.</w:t>
      </w:r>
    </w:p>
    <w:p>
      <w:r>
        <w:t>L'argumentation de l'appelante fondée sur le fait que l'adresse de son administrateur figurait dans une autre procédure pendante devant le Tribunal est quant à elle irrecevable, car elle se fonde sur des pièces nouvelles irrecevables. En tout état de cause, le Tribunal n'était pas tenu de consulter les bases de données du Pouvoir judiciaire pour voir si, par hypothèse, l'adresse à l'étranger de l'administrateur de l'appelante s'y trouvait.</w:t>
      </w:r>
    </w:p>
    <w:p>
      <w:r>
        <w:t>Il incombait au contraire à l'administrateur de l'appelante, en vertu de sa position d'organe de la société, de veiller au respect des prescriptions légales et d'effectuer les démarches nécessaires pour mettre à jour l'inscription de l'appelante au Registre du commerce, ce qu'il n'a pas fait.</w:t>
      </w:r>
    </w:p>
    <w:p>
      <w:r>
        <w:t>Il ressort de la procédure que l'administrateur de l'appelante savait que la société n'avait plus d'adresse inscrite au Registre du commerce, ni de représentant domicilié en Suisse et qu'il ne s'est pas soucié de savoir quelles allaient en être les conséquences. Ce faisant, il a manqué à la diligence requise et violé ses devoirs d'administrateur, étant rappelé qu'en tant que tel il était, en application de l'art. 716a al. 1 CO, tenu de veiller à la bonne organisation de la société et de s'assurer que toutes les dispositions légales étaient respectées.</w:t>
      </w:r>
    </w:p>
    <w:p>
      <w:r>
        <w:t>L'on relèvera que la diligence de l'administrateur dans la tenue à jour de l'inscription au Registre du commerce de la société qu'il dirige est d'autant plus importante au regard du fait que ce registre fait foi, de par la loi, de l'exactitude des faits qui y figurent.</w:t>
      </w:r>
    </w:p>
    <w:p>
      <w:r>
        <w:t>- 9/12 -</w:t>
      </w:r>
    </w:p>
    <w:p>
      <w:r>
        <w:t>C/15176/2025</w:t>
      </w:r>
    </w:p>
    <w:p>
      <w:r>
        <w:t>La manière dont l'intéressé a réagi lorsqu'il a été mis au courant du prononcé de la faillite de sa société, assurant qu'il allait se renseigner au sujet des "quelques factures ridicules de taxes en suspens", atteste au demeurant d'une attitude désinvolte incompatible avec ses obligations de diligence.</w:t>
      </w:r>
    </w:p>
    <w:p>
      <w:r>
        <w:t>Le fait que ledit administrateur avait, par hypothèse, comme l'allègue l'appelante "la conviction d'être sous protection de la procédure de redressement judiciaire en cours en France et n'avait pas du tout anticipé que la situation suisse pouvait donner lieu à des développements distincts, ni encore moins qu'elle était susceptible de notification par voie édictale" n'est pas un motif justificatif.</w:t>
      </w:r>
    </w:p>
    <w:p>
      <w:r>
        <w:t>Si C______, actionnaire unique de l'appelante, n'avait pas les connaissances nécessaires pour occuper la fonction d'administrateur de celle-ci, il lui aurait incombé de confier cette mission à un tiers mieux qualifié, ce qu'il a omis de faire. En tout état de cause, il ressort de la procédure qu'il est assisté depuis 2024 de plusieurs avocats suisses et français, de sorte qu'il aurait pu et dû se renseigner sur la teneur des obligations qui lui incombaient.</w:t>
      </w:r>
    </w:p>
    <w:p>
      <w:r>
        <w:t>Il résulte de ce qui précède que les conditions posées par l'art. 141 al. 1 CPC pour la notification du jugement du 31 juillet 2025 par voie édictale sont réalisées, puisque l'appelante n'avait pas d'adresse.</w:t>
      </w:r>
    </w:p>
    <w:p>
      <w:r>
        <w:t>Cette notification est valable et le délai pour requérir la motivation de ce jugement a expiré le ______ août 2025, comme l'a retenu à juste titre le Tribunal.</w:t>
      </w:r>
    </w:p>
    <w:p>
      <w:r>
        <w:t>C'est également à bon droit que le Tribunal a relevé que l'appelante n'a pas déposé sa requête de motivation dudit jugement dans les dix jours suivant celui où la cause du défaut a disparu.</w:t>
      </w:r>
    </w:p>
    <w:p>
      <w:r>
        <w:t>Il ressort de la procédure que l'appelante a eu connaissance du dispositif du jugement du 31 juillet 2025 le 6 octobre 2025 et qu'elle en a fait part le jour même à ses avocats. Ce n'est cependant que le 3 novembre 2025 qu'elle a requis la motivation du jugement du 31 juillet 2025.</w:t>
      </w:r>
    </w:p>
    <w:p>
      <w:r>
        <w:t>La requête de restitution du 3 novembre 2025 est dès lors tardive.</w:t>
      </w:r>
    </w:p>
    <w:p>
      <w:r>
        <w:t>Pour le reste, l'appelante se limite à renvoyer à son écriture déposée devant le Tribunal. Or un tel procédé ne respecte pas les exigences de motivation prévues par l'art. 311 al. 1 CPC, de sorte que ce renvoi est inopérant.</w:t>
      </w:r>
    </w:p>
    <w:p>
      <w:r>
        <w:t>Par ailleurs, les jurisprudences cantonales qu'elle cite à l'appui de sa thèse concernent des cas différents du cas d'espèce et ne lient en tout état de cause par la Cour de céans.</w:t>
      </w:r>
    </w:p>
    <w:p>
      <w:r>
        <w:t>Il résulte de ce qui précède que le jugement querellé doit être confirmé.</w:t>
      </w:r>
    </w:p>
    <w:p>
      <w:r>
        <w:t>- 10/12 -</w:t>
      </w:r>
    </w:p>
    <w:p>
      <w:r>
        <w:t>C/15176/2025</w:t>
      </w:r>
    </w:p>
    <w:p>
      <w:r>
        <w:rPr>
          <w:b/>
        </w:rPr>
        <w:t>E. 4</w:t>
      </w:r>
    </w:p>
    <w:p>
      <w:r>
        <w:t>Les frais judiciaires d'appel seront mis à la charge de l'appelante, qui succombe. Ils seront fixés à 600 fr. et partiellement compensés avec l'avance de 300 fr. versée par cette dernière, acquise à l'Etat de Genève (art. 26 et 35 RTFMC; 111 al. 1 CPC)</w:t>
      </w:r>
    </w:p>
    <w:p>
      <w:r>
        <w:t>L'appelante sera condamnée à verser à ce dernier le solde en 300 fr.</w:t>
      </w:r>
    </w:p>
    <w:p>
      <w:r>
        <w:t>Il ne sera pas alloué de dépens.</w:t>
      </w:r>
    </w:p>
    <w:p>
      <w:r>
        <w:t>* * * * *</w:t>
      </w:r>
    </w:p>
    <w:p>
      <w:r>
        <w:t>- 11/12 -</w:t>
      </w:r>
    </w:p>
    <w:p>
      <w:r>
        <w:t>C/15176/2025 PAR CES MOTIFS, La Chambre civile : A la forme : Déclare recevable l'appel interjeté par la A______ SA, en liquidation contre le jugement JTPI/17153/2025 rendu le 9 décembre 2025 par le Tribunal de première instance dans la cause C/15176/2025-22 SFC. Au fond : Confirme le jugement querellé. Déboute les parties de toutes autres conclusions. Sur les frais : Met les frais judiciaires d'appel, arrêtés à 600 fr., à la charge de A______ SA, en liquidation et les compense partiellement avec l'avance versée, acquise à l'Etat de Genève. Condamne A______ SA, en liquidation à verser 300 fr. à l'Etat de Genève au titre du solde des frais judiciaires d’appel. Dit qu'il n'est pas alloué de dépens d’appel. Siégeant : Madame Fabienne GEISINGER-MARIETHOZ, présidente; Monsieur Laurent RIEBEN, Monsieur Ivo BUETTI, juges; Madame Laura SESSA, greffière.</w:t>
      </w:r>
    </w:p>
    <w:p>
      <w:r>
        <w:t>La présidente : Fabienne GEISINGER-MARIETHOZ</w:t>
      </w:r>
    </w:p>
    <w:p>
      <w:r>
        <w:t>La greffière : Laura SESSA</w:t>
      </w:r>
    </w:p>
    <w:p>
      <w:r>
        <w:t>- 12/12 -</w:t>
      </w:r>
    </w:p>
    <w:p>
      <w:r>
        <w:t>C/15176/2025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