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ACJC/429/2022 vom 5. April 2022</w:t>
      </w:r>
    </w:p>
    <w:p>
      <w:r>
        <w:t>GE Cour de justice, 2022-04-05, FR</w:t>
      </w:r>
    </w:p>
    <w:p>
      <w:r>
        <w:rPr>
          <w:b/>
        </w:rPr>
        <w:t xml:space="preserve">Quelle: </w:t>
      </w:r>
      <w:r>
        <w:t>https://mcp.opencaselaw.ch/entscheid/ge_gerichte_ACJC_429_2022</w:t>
      </w:r>
    </w:p>
    <w:p>
      <w:r>
        <w:t>FR: GE_GERICHTE ACJC/429/2022 du 5 avril 2022</w:t>
      </w:r>
    </w:p>
    <w:p>
      <w:r>
        <w:t>IT: GE_GERICHTE ACJC/429/2022 del 5 aprile 2022</w:t>
      </w:r>
    </w:p>
    <w:p>
      <w:pPr>
        <w:pStyle w:val="Heading2"/>
      </w:pPr>
      <w:r>
        <w:t>Erwägungen</w:t>
      </w:r>
    </w:p>
    <w:p>
      <w:r>
        <w:rPr>
          <w:b/>
        </w:rPr>
        <w:t>E. 1.1</w:t>
      </w:r>
    </w:p>
    <w:p>
      <w:r>
        <w:t>L’appel est recevable dans les causes non patrimoniales ou dont la valeur litigieuse au dernier état des conclusions est supérieure à 10'000 fr. (art. 308 al. 1 let. a et al. 2 CPC).</w:t>
      </w:r>
    </w:p>
    <w:p>
      <w:r>
        <w:t>En l’espèce, la voie de l’appel est ouverte indépendamment de la valeur litigieuse dans la mesure où le litige porte notamment sur les droits parentaux, soit une affaire non pécuniaire dans son ensemble (arrêt du Tribunal fédéral 5A_837/2017 du 27 février 2018 consid. 1).</w:t>
      </w:r>
    </w:p>
    <w:p>
      <w:r>
        <w:t>Les actions alimentaires étant soumises à la procédure simplifiée (art. 295 et 244 ss CPC), le délai pour l’introduction de l’appel est de trente jours à compter de la notification de la décision (art. 311 al. 1 CPC).</w:t>
      </w:r>
    </w:p>
    <w:p>
      <w:r>
        <w:t>Interjeté contre une décision finale de première instance, dans le délai utile de trente jours et selon la forme prescrite par la loi (art. 130, 131, 142 et 311 CPC), l’appel est recevable.</w:t>
      </w:r>
    </w:p>
    <w:p>
      <w:r>
        <w:rPr>
          <w:b/>
        </w:rPr>
        <w:t>E. 1.2</w:t>
      </w:r>
    </w:p>
    <w:p>
      <w:r>
        <w:t>La Cour revoit la cause avec un plein pouvoir d’examen (art. 310 CPC).</w:t>
      </w:r>
    </w:p>
    <w:p>
      <w:r>
        <w:t>Les maximes inquisitoires illimitée et d’office régissent la procédure, de sorte que la Cour établit les faits d’office et n’est pas liée par les conclusions des parties (art. 296 CPC), ni par l’interdiction de la reformatio in pejus (ATF 138 III 374 consid. 4.3.1; arrêt du Tribunal fédéral 5A_757/2013 du 14 juillet 2014 consid. 2.1).</w:t>
      </w:r>
    </w:p>
    <w:p>
      <w:r>
        <w:rPr>
          <w:b/>
        </w:rPr>
        <w:t>E. 2</w:t>
      </w:r>
    </w:p>
    <w:p>
      <w:r>
        <w:t>Les parties ont produit des pièces nouvelles.</w:t>
      </w:r>
    </w:p>
    <w:p>
      <w:r>
        <w:rPr>
          <w:b/>
        </w:rPr>
        <w:t>E. 2.1</w:t>
      </w:r>
    </w:p>
    <w:p>
      <w:r>
        <w:t>Selon l’art. 317 al. 1 CPC, les faits et les moyens de preuves nouveaux ne sont pris en considération en appel que s’ils sont invoqués ou produits sans retard et s’ils ne pouvaient pas être invoqués ou produits devant la première instance bien que la partie qui s’en prévaut ait fait preuve de la diligence requise.</w:t>
      </w:r>
    </w:p>
    <w:p>
      <w:r>
        <w:t>Dans les causes concernant les enfants mineurs, soumises aux maximes d’office et inquisitoire illimitée (art. 296 CPC), il y a lieu d’admettre que les parties peuvent présenter des novas en appel même si les conditions de l’art. 317 al. 1 CPC ne sont pas réunies (ATF 144 III 349 consid. 4.2.1).</w:t>
      </w:r>
    </w:p>
    <w:p>
      <w:r>
        <w:rPr>
          <w:b/>
        </w:rPr>
        <w:t>E. 2.2</w:t>
      </w:r>
    </w:p>
    <w:p>
      <w:r>
        <w:t>Il s’ensuit que l’ensemble des pièces nouvelles produites jusqu’à ce que la cause soit gardée à juger, ainsi que les faits qui s’y rapportent, sont recevables.</w:t>
      </w:r>
    </w:p>
    <w:p>
      <w:r>
        <w:rPr>
          <w:b/>
        </w:rPr>
        <w:t>E. 3</w:t>
      </w:r>
    </w:p>
    <w:p>
      <w:r>
        <w:t>L’appelant reproche au premier juge d’avoir restreint le droit de visite mis en place depuis juillet 2019.</w:t>
      </w:r>
    </w:p>
    <w:p>
      <w:r>
        <w:t>- 11/23 -</w:t>
      </w:r>
    </w:p>
    <w:p>
      <w:r>
        <w:t>C/25668/2019</w:t>
      </w:r>
    </w:p>
    <w:p>
      <w:r>
        <w:rPr>
          <w:b/>
        </w:rPr>
        <w:t>E. 3.1</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 ; arrêt du Tribunal fédéral 5A_586/2012 du 12 décembre 2012 consid. 4.2).</w:t>
      </w:r>
    </w:p>
    <w:p>
      <w:r>
        <w:t>Cependant,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Cette disposition a pour objet de protéger l’enfant, et non de punir les parents. Ainsi, la violation par eux de leurs obligations et le fait de ne pas se soucier sérieusement de l’enfant ne sont pas des comportements qui justifient le refus ou le retrait des relations personnelles; ils ne le sont que lorsqu’ils ont pour conséquence que ces relations portent atteinte au bien de l’enfant (ATF 118 III 21 consid. 3c; 100 II 76 consid. 4b et les références; arrêt du Tribunal fédéral 5A_448/2008 du 2 octobre 2008 consid. 4.1 publié in FamPra 2009 p. 246).</w:t>
      </w:r>
    </w:p>
    <w:p>
      <w:r>
        <w:t>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w:t>
      </w:r>
    </w:p>
    <w:p>
      <w:r>
        <w:t>Le juge dispose d’un large pouvoir d’appréciation dans la fixation du droit de visite (ATF 127 III 295 consid. 4; 122 III 404 in JdT 1998 I 46 consid. 3d).</w:t>
      </w:r>
    </w:p>
    <w:p>
      <w:r>
        <w:rPr>
          <w:b/>
        </w:rPr>
        <w:t>E. 3.2</w:t>
      </w:r>
    </w:p>
    <w:p>
      <w:r>
        <w:t>En l’espèce, le Tribunal a restreint le droit de visite - préalablement fixé par ordonnance du Tribunal de protection du 29 juillet 2019 à deux nuits consécutives par semaine - à un week-end sur deux du vendredi soir sortie de l’école au dimanche 18h ou, en cas de week-end travaillé, aux deux premiers jours et nuits consécutifs non travaillés lui faisant suite, estimant qu’il ne se justifiait pas d’élargir le droit de visite, "au contraire compte tenu des nombreux incidents et difficultés".</w:t>
      </w:r>
    </w:p>
    <w:p>
      <w:r>
        <w:t>- 12/23 -</w:t>
      </w:r>
    </w:p>
    <w:p>
      <w:r>
        <w:t>C/25668/2019 S’il est vrai que les tensions parentales, en lien notamment avec le droit de visite, demeurent importantes, les compétences parentales de l’appelant ne sont pas remises en cause. L’intimé a admis que son père demeurait investi et présent dans sa vie, malgré la séparation parentale, et qu’il souhaitait continuer à le voir et à partager son quotidien autant que possible. Il ne ressort par ailleurs pas du dossier que qui que ce soit se serait plaint d’un comportement inadéquat de la part de l’appelant dans la prise en charge de l’enfant ou d’une mise en danger de son développement physique, moral ou psychique. Au contraire, il résulte du dossier que les difficultés mises en avant par la mère sont d’ordre organisationnel, le père refusant de communiquer son planning de travail – dont les horaires sont irréguliers et partant difficilement prévisibles –, ce qui empêchait les membres de la famille d’organiser sereinement leur quotidien. Les modalités du droit de visite mis en place par le Tribunal de protection sont également critiquées en ce qu’elles ne permettraient pas à la mère de passer du temps de qualité avec son fils, puisque la majorité des week-ends serait attribuée à l’appelant. Or, s’il importe en effet que chaque parent puisse profiter de moments privilégiés avec B______ lorsque celui-ci n’est pas à l’école, ces circonstances ne suffisent pas à elles seules à justifier une limitation du droit de visite préalablement réservé au père. L’intérêt de l’enfant exige par ailleurs une certaine stabilité, de sorte qu’il n’y pas lieu de modifier l’organisation mise en place depuis 2019 au vu de ce qui précède. Il y a en revanche lieu de tenir compte des horaires irréguliers du père, lesquels semblent se répéter toutes les trois semaines environ depuis mai 2021. La Cour ignorant toutefois si ce planning a été reconduit pour l’année 2022, elle fixera l’étendue du droit aux relations personnelles du père sans déterminer les jours de visite, charge aux parties, cas échéant au curateur, de mettre en place un calendrier des visites, étant précisé que, dans un souci d’équité, l’appelant ne pourra pas profiter de plus de deux week-ends par mois avec B______. Par conséquent, un droit de visite devant s’exercer à raison de deux nuits consécutives par semaine de sept jours, dont deux week-ends par mois, ainsi que durant la moitié des vacances scolaires, mais à raison de deux semaines consécutives au maximum, sera réservé au père, étant précisé que la mère de l’intimé devra être informée des disponibilités de l’appelant trois mois à l’avance ou dès que celui-ci en a connaissance. Il sera également indiqué, comme l’a fait le premier juge, que les parents auront chacun le droit à un appel téléphonique par semaine avec leur fils lorsque celui-ci sera gardé par l’autre parent pendant ses vacances scolaires, cette précision n’étant pas remise en cause par les parties. Il appartiendra pour le surplus aux parents de faire preuve de souplesse dans la prise en charge de l'enfant, dans l’intérêt bien compris de ce dernier, en favorisant</w:t>
      </w:r>
    </w:p>
    <w:p>
      <w:r>
        <w:t>- 13/23 -</w:t>
      </w:r>
    </w:p>
    <w:p>
      <w:r>
        <w:t>C/25668/2019 les relations fraternelles entre B______ et D______ et en privilégiant une certaine régularité des jours de visite choisis afin d'offrir un cadre stable à l'enfant et de permettre à chaque membre de la famille de s'organiser sereinement, étant par ailleurs rappelé que l'assistance d'un curateur d'organisation et de surveillance des relations personnelles ne devrait rester que temporaire. Le chiffre 2 du dispositif du jugement entrepris sera par conséquent modifié dans le sens qui précède.</w:t>
      </w:r>
    </w:p>
    <w:p>
      <w:r>
        <w:rPr>
          <w:b/>
        </w:rPr>
        <w:t>E. 4</w:t>
      </w:r>
    </w:p>
    <w:p>
      <w:r>
        <w:t>L’appelant critique le montant des contributions d’entretien qu’il a été condamné à payer.</w:t>
      </w:r>
    </w:p>
    <w:p>
      <w:r>
        <w:t>4.1.1 Selon l'art. 276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 ses père et mère; il est tenu compte de la fortune et des revenus de l'enfant (art. 285 al. 1 CC). La contribution d'entretien sera calculée en fonction de toutes les prestations fournies par chaque parent (arrêts du Tribunal fédéral 5A_583/2018 du 18 janvier 2019 consid 5.1; 5A_584/2018 du 10 octobre 2018 consid. 4.1; 5A_764/2017 du 7 mars 2018 consid. 4.1.5). L’enfant peut agir contre son père et sa mère afin de leur réclamer l’entretien pour l’avenir et pour l’année qui précède l’ouverture de l’action (art. 279 CC). Les besoins de l’enfant doivent être répartis entre les père et mère en fonction de leurs capacités contributives respectives (arrêts du Tribunal fédéral 5A_583/2018 du 18 janvier 2019 consid. 5.1; 5A_119/2017 du 30 août 2017 consid. 7.1). Si l’enfant est placé sous la garde exclusive de l’un des parents, vit dans le ménage de ce dernier et ne voit l’autre parent que dans le cadre de l’exercice du droit aux relations personnelles, le parent gardien apporte sa contribution à l’entretien de l’enfant « en nature », en s’occupant de l’enfant et en l’élevant. Dans un tel cas, le versement d’une contribution d’entretien incombe en principe entièrement à l’autre parent (arrêt du Tribunal fédéral 5A_311/2019 du 11 novembre 2020 consid. 5.5 et 8.1). 4.1.2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w:t>
      </w:r>
    </w:p>
    <w:p>
      <w:r>
        <w:t>- 14/23 -</w:t>
      </w:r>
    </w:p>
    <w:p>
      <w:r>
        <w:t>C/25668/2019 Dans trois arrêts publiés (ATF 147 III 265 in SJ 2021 I 316; 147 III 293 et 147 III 301), le Tribunal fédéral a toutefois posé, pour toute la Suisse, une méthode de calcul uniforme des contributions d'entretien du droit de la famille - soit la méthode du minimum vital avec répartition de l'excédent (dite en deux étapes) - qu'il y a lieu d'appliquer (ATF 142 V 551 consid. 4.1; 135 II 78 consid. 3.2; arrêt du Tribunal fédéral 5A_931/2017 consid. 3.1.3). Les principes développés dans ces arrêts peuvent être entièrement repris dans le cas de parents non mariés (BURGAT, in Entretien de l’enfant, des prévisions bienvenues : une méthode (presque) compète et obligatoire pour toute la Suisse; analyse de l'arrêt du Tribunal fédéral 5A_311/2019, Newsletter DroitMatrimonial.ch janvier 2021, p. 17). Selon cette méthode, il convient, d'une part, de déterminer les moyens financiers à disposition, à savoir les revenus effectifs ou hypothétiques et, d'autre part, de déterminer les besoins de la personne dont l'entretien est examiné (entretien convenable).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est ensuite réparti en fonction de la situation concrète, en tenant compte de toutes les circonstances entourant la prise en charge de l’enfant (ATF 147 III 265 précité consid. 7, traduit par BURGAT, in Entretien de l'enfant, des précisions bienvenues : une méthode (presque) complète et obligatoire pour toute la Suisse; analyse de l'arrêt du Tribunal fédéral 5A_311/2019, Newsletter DroitMatrimonial.ch janvier 2021).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Pour les enfants, les frais médicaux spécifiques et les frais scolaires doivent être ajoutés aux besoins de base (art. 93 LP; ATF 147 III 265 précité consid. 7.2; arrêt du Tribunal fédéral 5A_329/2016 du 6 décembre 2016 consid. 4.1; BASTONS BULLETTI, L'entretien après le divorce : Méthodes de calcul, montant, durée et limites, in SJ 2007 II 77, p. 84 s. et 101 s.). Lorsque les moyens financiers le permettent, l’entretien convenable doit être étendu au minimum vital du droit de la famille. Pour les parents, les postes suivants entrent généralement dans l’entretien convenable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w:t>
      </w:r>
    </w:p>
    <w:p>
      <w:r>
        <w:t>- 15/23 -</w:t>
      </w:r>
    </w:p>
    <w:p>
      <w:r>
        <w:t>C/25668/2019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à l’exclusion des frais de voyages ou de loisirs, ces besoins devant cas échéant être financés au moyen de la répartition de l’excédent. Cet excédent est à répartir selon la méthode des « grandes têtes et petites têtes », la part des parents valant le double de celle des enfants mineurs, en tenant compte de toutes les particularités du cas d’espèce (ATF 147 III 265 consid. 7.2 et 7.3, in SJ 2021 I 316). Lors de la détermination des besoins – élargis – de l'enfant, il s'agit de prendre en compte la contribution d'entretien de l'enfant (revenu de l'enfant) imposable au crédirentier ou à la crédirentière (art. 3 al. 3 LHID et 285 al. 2 CC) par rapport au revenu total imposable du parent bénéficiaire et la part de l'obligation fiscale totale du crédirentier ou de la crédirentière qui en découle. Si, par exemple, le revenu attribuable à l'enfant représente 20% du revenu du foyer fiscal, la même proportion de la dette fiscale totale du crédirentier ou de la crédirentière doit être incluse dans les besoins de l'enfant et, par conséquent, seule la différence doit être incluse dans les besoins du crédirentier ou de la crédirentière (ATF 147 III 457 consid. 4.2.3.5). Les frais de véhicule ne peuvent, en principe, être pris en considération que si celui-ci est indispensable au débiteur à titre personnel ou pour l’exercice de la profession, l’utilisation des transports publics ne pouvant être raisonnablement exigée de l’intéressé (arrêt du Tribunal fédéral 5A_703/2011 du 7 mars 2012 consid. 4.2). Seules les charges effectives, dont le débirentier ou le crédirentier s’acquittent réellement doivent être prises en compte (ATF 140 III 337 consid. 4.2.3 ; arrêt du Tribunal fédéral 5A_405/2019 du 24 février 2020 consid. 5.2 et les références). Les obligations d’entretien du droit de la famille trouvent leur limite dans la capacité contributive du débirentier en ce sens que le minimum vital de celui-ci doit être préservé (ATF 135 III 66 consid. 2; arrêts du Tribunal fédéral 5A_450/2020 du 4 janvier 2021 consid. 5.3; 5A_329/2019 du 25 octobre 2019 consid. 3.3.1.1). 4.1.3 Selon l’art. 8A du Règlement d’application de la loi générale relative au personnel de l’administration cantonale et des établissements publics médicaux du 24 février 1999 (RPAC), dont la teneur suivante est en vigueur depuis le 24 juillet 2019, les membres du personnel peuvent être appelés à effectuer des heures supplémentaires lorsque les besoins d’un service l’exigent (al. 1). Les heures supplémentaires ne peuvent, en règle générale, excéder 2 heures par jour, ni 220 heures par année (al. 3). Elles sont compensées en priorité par un congé</w:t>
      </w:r>
    </w:p>
    <w:p>
      <w:r>
        <w:t>- 16/23 -</w:t>
      </w:r>
    </w:p>
    <w:p>
      <w:r>
        <w:t>C/25668/2019 d'une durée équivalente majorée de 25% au minimum et de 100% au maximum mais peuvent, à titre exceptionnel, être compensées en espèces (al. 4 et 5).</w:t>
      </w:r>
    </w:p>
    <w:p>
      <w:r>
        <w:rPr>
          <w:b/>
        </w:rPr>
        <w:t>E. 4.2</w:t>
      </w:r>
    </w:p>
    <w:p>
      <w:r>
        <w:t>En l’espèce, il y a lieu de réexaminer les revenus et charges des parties à la lumière des griefs soulevés, étant précisé que les parties ne remettent pas en cause le calcul de l’entretien convenable selon le minimum vital du droit de la famille.</w:t>
      </w:r>
    </w:p>
    <w:p>
      <w:r>
        <w:rPr>
          <w:b/>
        </w:rPr>
        <w:t>E. 4.2.1</w:t>
      </w:r>
    </w:p>
    <w:p>
      <w:r>
        <w:t>L’appelant reproche au premier juge d’avoir retenu qu’il percevait un salaire net moyen de 8'310 fr. par mois. Selon lui, il réaliserait un revenu net moyen de 8'000 fr. par mois, se limitant toutefois à soutenir que la somme de 5'915 fr. 75 mentionnée dans le certificat de salaire 2019 correspondant au rattrapage des annuités 2016 à 2018 ainsi que le montant réalisé par l’accomplissement d’heures supplémentaires ne doivent pas être pris en compte dans le calcul de son revenu. Or, il ne ressort pas du certificat de salaire 2020, sur lequel s’est fondé le premier juge pour estimer le revenu de l’intéressé, qu’un rattrapage des annuités aurait été versé à l’appelant cette année-là. S’agissant des heures supplémentaires, les pièces produites ne permettent pas de retenir que l’appelant n’en effectuerait pas, ou que très rarement, le précité n’ayant fourni qu’une fiche de salaire de fin d’année sur laquelle figure le traitement relatif à ces heures, soit celle de décembre 2020. Sur ce document, il est indiqué qu’un montant brut de 3'640 fr. lui a été versé à titre d’heures supplémentaires. Or, en 2020, la disposition du Règlement (RPAC) stipulant que les heures supplémentaires doivent être compensées en priorité par un congé était déjà entrée en vigueur. Il sera donc retenu que l’appelant continue d’effectuer des heures supplémentaires rémunérées, de sorte qu'il n'y a pas lieu de retrancher ce montant du salaire perçu. Il ne se justifie en revanche pas de tenir compte de l’augmentation du salaire de l’appelant en raison des annuités qu’il est théoriquement en droit de percevoir dès lors que ces annuités sont régulièrement "gelées" et qu’il n’est ainsi pas établi que l’appelant en bénéficiera régulièrement. Quant au montant figurant sur le certificat de salaire de l’année 2019, il tient compte des annuités rétroactives perçues par l’appelant (montant brut de 5'915 fr. 75) qu’il convient de déduire du salaire net annuel de 102'081 fr. 60. C’est donc à juste titre que le Tribunal s’est fondé sur le certificat de salaire 2020 de l’appelant pour retenir que l’appelant réalisait un salaire moyen net de 8'310 fr. par mois (salaire net annuel de 99'700 fr. 60 / 12). S’agissant des charges de l’appelant, l’intimé fait valoir que les postes relatifs au loyer du parking et aux frais de voiture devraient être écartés car l’utilisation d’un véhicule n’est pas indispensable à l’exercice de sa profession. Selon lui, son père</w:t>
      </w:r>
    </w:p>
    <w:p>
      <w:r>
        <w:t>- 17/23 -</w:t>
      </w:r>
    </w:p>
    <w:p>
      <w:r>
        <w:t>C/25668/2019 se rendrait au travail à vélo, ce que l’appelant conteste. En l’occurrence, l’appelant travaille régulièrement les week-ends et vit éloigné de l'école de son fils, l’utilisation de son automobile privée apparaît dès lors indispensable. Ces montants (160 fr. par mois à titre de loyer pour le parking et 200 fr. par mois à titre de frais de voiture) seront par conséquent confirmés. Il y a en revanche lieu d’écarter les 70 fr. retenus par le premier juge à titre de frais de transports publics, ce que l’appelant a lui-même fait dans le budget qu’il présente en appel. Son forfait de télécommunication, son assurance RC ménage et son assurance-vie troisième pilier, dont les montants de 150 fr. par mois, respectivement 81 fr. 95 par mois et 100 fr. par mois, sont établis par pièces devant la Cour, seront, comme pour la mère de l'intimé, inclus dans ses charges. Les autres postes (1'200 fr. de montant de base OP, 1'200 fr. de loyer, 570 fr. de prime d’assurance-maladie et 25 fr. de franchise mensualisée) ne sont à juste titre pas remis en cause et seront dès lors confirmés. Les charges de l’appelant s’élèvent par conséquent à un montant de 3'686 fr. 95, hors charge fiscale, jusqu’au 31 décembre 2021. Il ressort des pièces produites en appel que pour l'année 2022, la prime d’assurance-maladie obligatoire de l’appelant s’élève à un montant de 554 fr. 35 par mois. L'appelant s’acquitte en outre d’un montant total de 118 fr. 10 par mois à titre d’assurance-maladie complémentaire depuis le 1er janvier 2022. Les charges de l’appelant s’élèvent par conséquent à un montant de 3'789 fr. 40, hors charge fiscale, dès le 1er janvier 2022.</w:t>
      </w:r>
    </w:p>
    <w:p>
      <w:r>
        <w:t>Il convient encore de modifier la charge fiscale retenue par le Tribunal, qui ne tient pas compte des contributions que l’appelant est condamné à payer. Au vu du résultat obtenu au moyen de la calculette mise à disposition sur le site de l’Administration fiscale cantonale et des paliers de la contribution d'entretien (cf. infra consid. 4.2.4), la charge fiscale annuelle de l’appelant peut être estimée à 12'700 fr., soit 1'050 fr. par mois, jusqu’au 31 août 2020, et à 14'625 fr., soit 1'220 fr. par mois, à partir du 1er septembre 2020 (en tenant compte notamment de son revenu, de ses primes d’assurance-maladie et du paiement des pensions alimentaires fixées en faveur de son fils). Au vu de ce qui précède, les charges mensuelles de l’appelant se sont élevées à un montant arrondi de 4'740 fr. (4'736 fr. 95) du 1er mars 2019 au 31 août 2020, à 4'900 fr. (4'906 fr. 95) du 1er septembre 2020 au 31 décembre 2021 et à 5'010 fr. (5'009 fr. 40) dès le 1er janvier 2022. L’appelant profite ainsi d’un disponible mensuel de 3'570 fr., de 3'410 fr. et de 3'300 fr. pour chacune des trois périodes précitées.</w:t>
      </w:r>
    </w:p>
    <w:p>
      <w:r>
        <w:t>- 18/23 -</w:t>
      </w:r>
    </w:p>
    <w:p>
      <w:r>
        <w:t>C/25668/2019</w:t>
      </w:r>
    </w:p>
    <w:p>
      <w:r>
        <w:rPr>
          <w:b/>
        </w:rPr>
        <w:t>E. 4.2.2</w:t>
      </w:r>
    </w:p>
    <w:p>
      <w:r>
        <w:t>La mère de l’intimé perçoit un revenu mensuel net de 9'100 fr. S’agissant des charges de celle-ci, il n’y a pas lieu de corriger le montant de la prime mensuelle de son assurance-maladie obligatoire, dont le montant a été arrondi à 370 fr. au lieu de 365 fr. 95, le Tribunal ayant procédé de la sorte avec tous les postes de charges de chaque membre de la famille. En outre, compte tenu de la modicité de la réduction des primes d’assurance- maladie de la mère en 2022 par rapport aux montants retenus à ce titre par le premier juge, la Cour renoncera à en tenir compte. Quant aux autres charges mensuelles retenues par le Tribunal (1'350 fr. de montant de base OP, 1'870 fr. de loyer, 370 fr. et 210 fr. de prime et de franchise mensualisée d’assurance-maladie obligatoire, 70 fr. de TPG, 50 fr. de loyer pour son parking, 200 fr. de frais de voiture, 200 fr. d’assurance-maladie complémentaire, 50 fr. d’assurance RC ménage, 25 fr. de protection juridique et 175 fr. de téléphonie et internet), elles ne sont à juste titre pas contestées en appel et seront dès lors confirmées. Les charges de la mère s’élèvent donc à un montant de 4'570 fr. par mois, hors charge fiscale. L’intimé fait valoir que sa mère doit s’acquitter d’un montant total de 15'295 fr. 65 pour ses impôts de 2020, produisant une simulation fiscale qui ne tient cependant pas compte des circonstances d’espèce, notamment des contributions d'entretien et des allocations familiales perçues pour ses enfants. Il convient néanmoins de corriger le montant retenu par le Tribunal, dans la mesure où celui- ci s’est basé sur la taxation d’office de 2018 de la mère, laquelle ne tient pas non plus compte de ces éléments. Au vu du résultat obtenu au moyen de la calculette mise à disposition sur le site de l’Administration fiscale cantonale, la charge fiscale annuelle de la mère peut être estimée à 17'130 fr. pour la première période allant du 1er mars 2019 au 31 août 2020 (frais de crèche pour B______ et frais de parascolaire pour D______), soit 1'430 fr. par mois, et à 17'550 fr. pour la seconde période qui débute le 1er septembre 2020 (frais de prise en charge parascolaire pour les deux enfants), soit 1'460 fr. par mois (en tenant compte de ses deux enfants à charge, de son revenu, des allocations familiales et des contributions d'entretien perçues pour D______ et B______, des primes d'assurance-maladie pour elle et ses enfants et des frais de garde). La totalité de la charge fiscale ne doit toutefois pas être englobée dans le budget de la mère puisqu’une partie doit être incluse dans les charges de l’enfant, en fonction de la proportion que représente la contribution d’entretien de ce dernier par rapport au revenu total imposable du parent bénéficiaire. En l’occurrence, un montant de 290 fr. de la charge fiscale de la mère sera imputé à l’enfant pour la période de mars 2019 à août 2020 (part de 20%) et 220 fr. de la charge fiscale</w:t>
      </w:r>
    </w:p>
    <w:p>
      <w:r>
        <w:t>- 19/23 -</w:t>
      </w:r>
    </w:p>
    <w:p>
      <w:r>
        <w:t>C/25668/2019 seront imputés à l’enfant dès le 1er septembre 2020 (part de 15%). La charge fiscale mensuelle de la mère s'élève donc à un montant de 1'140 fr. (1'430 fr. – 290 fr.), respectivement de 1'240 fr. (1'460 fr. – 220 fr.). Par conséquent, les charges mensuelles de la mère s’élèvent à un montant total de 5'710 fr. pour la première période et de 5'810 fr. pour la seconde. Celle-ci profite alors d’un disponible mensuel de 3'390 fr. du 1er mars 2019 au 31 août 2020 et de 3'290 fr. dès le 1er septembre 2020.</w:t>
      </w:r>
    </w:p>
    <w:p>
      <w:r>
        <w:rPr>
          <w:b/>
        </w:rPr>
        <w:t>E. 4.2.3</w:t>
      </w:r>
    </w:p>
    <w:p>
      <w:r>
        <w:t>Les charges relatives à l’entretien de D______ retenues par le premier juge ne sont pas contestées et s’élèvent à un montant de 1'160 fr. Celles-ci sont couvertes par la contribution d’entretien versée par le père (1'000 fr. par mois) et les allocations familiales (300 fr. par mois). L’intimé soutient que sa mère doit, depuis la rentrée de septembre 2021, prendre en charge, en sus, les frais de scolarité privée de D______. Bien que seul le versement d’un montant total de 3'879 fr. soit établi, il sera tenu compte des montants allégués, représentant un montant total de 1’770 fr. par mois (18'230 fr. + 2'995 fr. / 12) dès lors qu'il est établi que l'enfant a bien été inscrit dans cette école et que la situation financière de la mère permet de le faire sans qu’il n’y ait d’incidence sur la résolution du présent litige. En 2022, les primes d’assurance-maladie de D______ n’ont que faiblement diminué (3 fr.), de sorte qu’il ne se justifie pas d’en tenir compte. Les charges d’entretien de D______ s’élèvent donc à un montant arrondi de 2'930 fr. dès le 1er septembre 2021 (frais de scolarité privée incluse et frais de parascolaire écartés). Une fois la contribution versée par le père de ce dernier (1'000 fr. par mois) et les allocations familiales (300 fr. par mois) déduites, la part d’entretien incombant à la mère s’élève à 1'630 fr. Compte tenu de ce qui précède, la mère dispose d’un solde disponible de 1'660 fr. par mois dès le 1er septembre 2021.</w:t>
      </w:r>
    </w:p>
    <w:p>
      <w:r>
        <w:rPr>
          <w:b/>
        </w:rPr>
        <w:t>E. 4.2.4</w:t>
      </w:r>
    </w:p>
    <w:p>
      <w:r>
        <w:t>Le premier juge a fixé les besoins de B______ en distinguant deux périodes : celle durant laquelle il a fréquenté la crèche (du 1er mars 2019 au 31 août 2020) et celle où il est scolarisé (à partir de septembre 2020). L’appelant fait valoir qu’il n’y a pas lieu d’inclure les frais de crèche pour les mois de juin à août 2020. Or, le montant arrêté par le Tribunal, soit 895 fr. par mois, a été obtenu en mensualisant le coût total de ces frais sur une période de dix-huit mois (mars 2019 à août 2020 inclus) afin d’éviter de multiplier les paliers, ce qui n'est pas critiquable.</w:t>
      </w:r>
    </w:p>
    <w:p>
      <w:r>
        <w:t>- 20/23 -</w:t>
      </w:r>
    </w:p>
    <w:p>
      <w:r>
        <w:t>C/25668/2019 Les autres postes du budget de l’enfant ne sont pas contestés et peuvent donc être confirmés s’agissant de la première période (400 fr. de montant de base OP, 400 fr. de participation au loyer de sa mère, 130 fr. d’assurance-maladie obligatoire et 25 fr. d’assurance-maladie complémentaire). Les charges d’entretien de B______ s’élèvent ainsi à 1'850 fr. par mois du 1er mars 2019 au 31 août 2020, hors charge fiscale. En appel, l’intimé a précisé ses frais de cuisine scolaire et de parascolaire. S’agissant du parascolaire, la mère de l’enfant s’est acquittée d’un montant total de 3'759 fr. pour l’année scolaire 2020-2021 pour ses deux enfants. C’est donc un montant mensuel de 157 fr. qu’il y aurait lieu de retenir dans les charges de B______ (1'880 fr. pour 10 mois / 12 mois). Il ressort par ailleurs des factures de cuisine scolaire que B______ profite en moyenne de 12 repas par mois, facturés 10 fr. par repas, ce qui représente un montant mensuel de 120 fr. L’appelant ayant admis le montant allégué à ce titre par l'intimé, il pourrait être tenu compte du montant mensuel de 130 fr. par mois. Toutefois, ces charges n’ayant que faiblement diminué (8 fr.), la Cour renoncera à tenir compte de cette modification. Il en va de même des primes d’assurance-maladie obligatoire et complémentaire, qui n’ont que faiblement varié (diminution globale de 4 fr. par mois). Quant aux frais de loisirs allégués (tennis, patinage, batterie, ski), ceux-ci doivent être financés au moyen de la répartition de l’excédent et ne font pas partie des charges à inclure dans le minimum vital du droit de la famille. Les charges relatives à l'entretien de B______ (montants de la première période exceptés les frais de crèche, additionnés de 125 fr. de cuisine scolaire, 170 fr. de parascolaire et 5 fr. supplémentaire à titre d’assurance-maladie complémentaire) s’élèvent donc à un montant de 1'255 fr. par mois depuis le 1er septembre 2020. Enfin, il y a lieu d’inclure la part de la charge fiscale de la mère à imputer à l’enfant (290 fr. par mois du 1er mars 2019 au 31 août 2020 et 220 fr. par mois dès le 1er septembre 2021). Il s’ensuit que les besoins de B______ seront arrêtés à 2'140 fr. par mois, soit 1'840 fr. après déduction de 300 fr. d’allocations familiales, pour la période du 1er mars 2019 au 31 août 2020 et à 1'475 fr. par mois, soit 1'175 fr. après déduction de 300 fr. d’allocations familiales, dès le 1er septembre 2020. En tenant compte de l’augmentation du montant de base OP, les besoins de B______ peuvent être arrêtés à 1'675 fr. par mois, soit 1'375 fr. après déduction de 300 fr. d’allocations familiale dès le 1er septembre 2025.</w:t>
      </w:r>
    </w:p>
    <w:p>
      <w:r>
        <w:rPr>
          <w:b/>
        </w:rPr>
        <w:t>E. 4.2.5</w:t>
      </w:r>
    </w:p>
    <w:p>
      <w:r>
        <w:t>Au vu des soldes disponibles respectifs des parents et de la répartition de la prise en charge de l’enfant (71% de la semaine chez la mère et 29% chez le père),</w:t>
      </w:r>
    </w:p>
    <w:p>
      <w:r>
        <w:t>- 21/23 -</w:t>
      </w:r>
    </w:p>
    <w:p>
      <w:r>
        <w:t>C/25668/2019 qui ne constitue pas une garde alternée, c’est à juste titre que le Tribunal a fait supporter à l’appelant l’intégralité des besoins financiers de B______. Les contributions mensuelles fixées par le Tribunal, non contestées en appel par l'intimé, soit 1'990 fr., 1495 fr. et 1'660 fr. pour les trois périodes respectives précitées, qui permettent de couvrir l’entier des charges d’entretien de l’enfant et de faire profiter ce dernier d’une partie de l’excédent de son père (150 fr. pour la première période, 320 fr. pour la deuxième et 285 fr. pour la troisième), seront dès lors confirmées. Une fois ces contributions versées, l’appelant disposera encore d’un montant de 1’580 fr. par mois du 1er mars 2019 au 31 août 2020, de 1'915 fr. par mois du 1er septembre 2020 au 31 décembre 2021, de 1'805 fr. par mois du 1er janvier 2022 au 31 août 2025 et de 1'640 fr. par mois dès le 1er septembre 2025, soit un disponible comparable à celui de la mère après couverture des charges de son fils aîné à partir du 1er septembre 2021.</w:t>
      </w:r>
    </w:p>
    <w:p>
      <w:r>
        <w:rPr>
          <w:b/>
        </w:rPr>
        <w:t>E. 4.2.6</w:t>
      </w:r>
    </w:p>
    <w:p>
      <w:r>
        <w:t>Dans la mesure où l’appelant a démontré avoir contribué à l’entretien de son fils depuis le 1er mars 2019 jusqu’au 12 janvier 2022 (date de la dernière écriture d’appel), il y a lieu d’actualiser le montant à déduire des contributions dues, lequel s’élève désormais à 31'150 fr. Le chiffre 5 du dispositif du jugement entrepris sera par conséquent modifié dans le sens qui précède.</w:t>
      </w:r>
    </w:p>
    <w:p>
      <w:r>
        <w:rPr>
          <w:b/>
        </w:rPr>
        <w:t>E. 5.1</w:t>
      </w:r>
    </w:p>
    <w:p>
      <w:r>
        <w:t>La modification partielle du jugement entrepris ne commande pas de revoir la décision du Tribunal sur les frais de première instance (art. 318 al. 3 CPC), laquelle ne fait l’objet d’aucun grief et est conforme aux normes applicables (art. 32 RTFMC et 107 al. 1 let. c CPC).</w:t>
      </w:r>
    </w:p>
    <w:p>
      <w:r>
        <w:rPr>
          <w:b/>
        </w:rPr>
        <w:t>E. 5.2</w:t>
      </w:r>
    </w:p>
    <w:p>
      <w:r>
        <w:t>Les frais judiciaires d’appel seront fixés à 800 fr. (art. 95 al. 2 et 105 al. 1 CPC; 32 et 35 RTFMC). Pour des motifs d’équité liés à la nature du litige, ils seront répartis à parts égales entre les parties, soit 400 fr. à charge de chacune (art. 107 al. 1 let. c CPC). Ils seront entièrement compensés avec l’avance fournie par l’appelant, qui reste acquise à l’Etat de Genève, et l’intimé sera condamné à verser à l’appelant la somme de 400 fr. (art. 111 al. 1 et 2 CPC).</w:t>
      </w:r>
    </w:p>
    <w:p>
      <w:r>
        <w:t>Compte tenu de la nature familiale du litige, chaque partie supportera ses propres dépens d’appel (art. 107 al. 1 let. c CPC). * * * * *</w:t>
      </w:r>
    </w:p>
    <w:p>
      <w:r>
        <w:t>- 22/23 -</w:t>
      </w:r>
    </w:p>
    <w:p>
      <w:r>
        <w:t>C/25668/2019</w:t>
      </w:r>
    </w:p>
    <w:p>
      <w:r>
        <w:t>PAR CES MOTIFS, La Chambre civile :</w:t>
      </w:r>
    </w:p>
    <w:p>
      <w:r>
        <w:t>A la forme : Déclare recevable l'appel interjeté par A______ le 15 octobre 2021 contre le jugement JTPI/10991/2021 rendu le 31 août 2021 par le Tribunal de première instance dans la cause C/25668/2019-1. Au fond : Modifie les chiffres 2 et 5 du dispositif du jugement entrepris et, statuant à nouveau sur ce point : Réserve à A______ un droit de visite sur son fils B______ devant s’exercer, sauf accord contraire des parties, à raison de deux nuits consécutives par semaine de sept jours, dont deux week-ends par mois, ainsi que durant la moitié des vacances scolaires, mais à raison de deux semaines consécutives au maximum. Précise que A______ et C______ auront chacun le droit à un appel téléphonique par semaine avec le mineur lorsqu’il sera gardé par l’autre parent pendant ses vacances scolaires. Condamne A______ à verser en mains de C______, par mois et d’avance, à titre de contribution à l’entretien de B______, allocations familiales non comprises, 1'990 fr. du 1er mars 2019 au 31 août 2020, 1'495 fr. du 1er septembre 2020 au 31 août 2025 et 1'660 fr. du 1er septembre 2025 jusqu’à la majorité, voire au-delà si l’enfant poursuit une formation professionnelle ou des études sérieuses et régulières, sous déduction du montant de 31'150 fr. déjà versé à ce titre pour la période du 1er mars 2019 au 12 janvier 2022. Confirme le jugement entrepris pour le surplus. Déboute les parties de toutes autres conclusions. Sur les frais : Arrête les frais judiciaires d’appel à 800 fr., dit qu’ils sont entièrement compensés avec l’avance fournie par A______ qui demeure acquise à l’Etat de Genève, et les met à la charge de chacune des parties pour moitié.</w:t>
      </w:r>
    </w:p>
    <w:p>
      <w:r>
        <w:t>- 23/23 -</w:t>
      </w:r>
    </w:p>
    <w:p>
      <w:r>
        <w:t>C/25668/2019</w:t>
      </w:r>
    </w:p>
    <w:p>
      <w:r>
        <w:t>Condamne B______ à verser 400 fr. à A______ à titre de frais judiciaires d’appel. Dit que chaque partie supportera ses propres dépens d’appel. Siégeant : Monsieur Laurent RIEBEN, président; Monsieur Patrick CHENAUX, Madame Fabienne GEISINGER-MARIETHOZ, juges; Madame Sandra CARRIER, greffière.</w:t>
      </w:r>
    </w:p>
    <w:p>
      <w:r>
        <w:t>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