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ACJC/429/2015 vom 21. April 2015</w:t>
      </w:r>
    </w:p>
    <w:p>
      <w:r>
        <w:t>GE Cour de justice, 2015-04-21, FR</w:t>
      </w:r>
    </w:p>
    <w:p>
      <w:r>
        <w:rPr>
          <w:b/>
        </w:rPr>
        <w:t xml:space="preserve">Quelle: </w:t>
      </w:r>
      <w:r>
        <w:t>https://mcp.opencaselaw.ch/entscheid/ge_gerichte_ACJC_429_2015</w:t>
      </w:r>
    </w:p>
    <w:p>
      <w:r>
        <w:t>FR: GE_GERICHTE ACJC/429/2015 du 21 avril 2015</w:t>
      </w:r>
    </w:p>
    <w:p>
      <w:r>
        <w:t>IT: GE_GERICHTE ACJC/429/2015 del 21 aprile 2015</w:t>
      </w:r>
    </w:p>
    <w:p>
      <w:pPr>
        <w:pStyle w:val="Heading2"/>
      </w:pPr>
      <w:r>
        <w:t>Volltext</w:t>
      </w:r>
    </w:p>
    <w:p>
      <w:r>
        <w:t>Le présent arrêt est communiqué aux parties par plis recommandés, ainsi qu'au Tribunal de première instance le 21 avril 2015.</w:t>
      </w:r>
    </w:p>
    <w:p>
      <w:r>
        <w:t>REPUBLIQUE ET</w:t>
      </w:r>
    </w:p>
    <w:p>
      <w:r>
        <w:t>CANTON DE GENEVE POUVOIR JUDICIAIRE C/13839/2013 ACJC/429/2015 ARRÊT DE LA COUR DE JUSTICE Chambre civile DU LUNDI 20 AVRIL 2015</w:t>
      </w:r>
    </w:p>
    <w:p>
      <w:r>
        <w:t>Entre Monsieur A______, domicilié ______ (GE), appelant d'un jugement rendu par la 21ème Chambre du Tribunal de première instance de ce canton le 10 mars 2015, comparant par Me David Bitton, avocat, 3, place du Molard, 1204 Genève, en l'étude duquel il fait élection de domicile, et Madame B______, domiciliée ______ (GE), intimée, comparant par Me Eric Hess, avocat, 6, rue Saint-Léger, 1205 Genève, en l'étude duquel elle fait élection de domicile.</w:t>
      </w:r>
    </w:p>
    <w:p>
      <w:r>
        <w:t>- 2/5 -</w:t>
      </w:r>
    </w:p>
    <w:p>
      <w:r>
        <w:t>C/13839/2013 Vu, EN FAIT, le jugement JTPI/3100/2015 du 10 mars 2015, notifié le 20 mars 2015 à A______, aux termes duquel le Tribunal de première instance, statuant sur mesures protectrices de l'union conjugale, a notamment fixé le montant dû par A______ à B______ à titre de contribution à son entretien à 16'000 fr. par mois dès le 1er juillet 2013 (ch. 3); Vu l'appel déposé le 30 mars 2015 par A______ au greffe de la Cour de justice par lequel il conteste le montant de la contribution d'entretien, dont il sollicite qu'elle soit fixée à 3'500 fr. par mois, à compter du 1er janvier 2014; Vu la requête d'effet suspensif de l'appelant, celui-ci exposant qu'à défaut, il devrait s'acquitter d'un arriéré de 84'000 fr.; que ses revenus ont beaucoup baissé à la suite de sa maladie nécessitant de lourds traitements, de sorte qu'il ne lui est pas possible de s'acquitter du montant mis à sa charge; que l'intimée risque de requérir le séquestre de ses avoirs, qui servent aussi au fonctionnement de son entreprise individuelle; que l'augmentation de 12'000 fr. de la pension fixée sur mesures superprovisionnelles à 16'000 fr. par mois a été justifiée par le Tribunal en vue de la charge fiscale future de l'intimée, dont celle-ci n'a donc en l'état pas à s'acquitter; enfin, qu'il est probable qu'il ne pourra pas récupérer l'éventuel trop-versé dès lors que l'intimée retire immédiatement les montants qu'il lui verse; Qu'invitée à se déterminer sur la requête d'effet suspensif, l'intimée s'y oppose faisant valoir que l'appelant tait des éléments de fortune importants, tels le fait que C______ détient un patrimoine immobilier, dont les revenus locatifs se montent à 300'000 fr. par mois ou le fait qu'il assume sans problème la charge financière de son avion et que le versement de l'arriéré de 84'000 fr. ne saurait paralyser le fonctionnement de l'entreprise de l'appelant, dont le chiffre d'affaires se monte à plus de 6 millions par année;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w:t>
      </w:r>
    </w:p>
    <w:p>
      <w:r>
        <w:t>- 3/5 -</w:t>
      </w:r>
    </w:p>
    <w:p>
      <w:r>
        <w:t>C/13839/2013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l'octroi de l'effet suspensif aurait pour conséquence que la contribution d'entretien demeure, pendant la procédure d'appel, celle de 12'000 fr. par mois fixée sur mesures superprovisionnelles; Qu'il convient donc d'examiner si le paiement de l'arriéré de 84'000 fr. et de la différence mensuelle de 4'000 fr. pendant la procédure d'appel serait de nature à causer à l'appelant un préjudice difficilement réparable; Qu'il paraît vraisemblable que l'appelant dispose des moyens financiers nécessaires pour faire face à cette charge; Qu'en effet, les revenus locatifs de C______, dont l'appelant est l'administrateur et actionnaire unique et qui détient un parc immobilier d'une valeur d'environ 35'000'000 fr., se montent à 300'000 fr. par mois; Qu'il ressort de l'attestation de la fiduciaire de l'appelant du 31 octobre 2014 que l'appelant a pour habitude d'effectuer des prélèvements en cash des comptes de son entreprise en vue de couvrir des dépenses privées, pour des montants considérables (près de 200'000 fr. par exemple en 2010), qui n'apparaissent cependant pas systématiquement à titre de revenus, notamment dans la déclaration fiscale de 2013; Que, par ailleurs, l'appelant est propriétaire d'un avion destiné à un usage privé; Qu'ainsi, quand bien même il paraît à première vue vraisemblable que les difficultés de santé que rencontre l'appelant ont un impact sur ses revenus résultant de son activité professionnelle, il n'en demeure pas moins que sa fortune demeure importante et lui permet de faire face à son obligation d'entretien; Que, toutefois, l'intimée est sans revenus;</w:t>
      </w:r>
    </w:p>
    <w:p>
      <w:r>
        <w:t>- 4/5 -</w:t>
      </w:r>
    </w:p>
    <w:p>
      <w:r>
        <w:t>C/13839/2013 Qu'elle est, certes, copropriétaire avec l'appelant de deux immeubles et d'un terrain en Floride et a perçu un montant de 78'000 fr. en juin 2014 à la suite de la vente d'un bien immobilier dont elle était propriétaire; Que, cependant, si la valeur totale des propriétés en Floride a été estimée à environ 170'000 US$, les éléments au dossier ne permettent pas d'évaluer si la vente de celles-ci serait susceptible de procurer à l'intimée un bénéfice; Qu'en outre, l'appartement sis à Jérusalem que l'intimée a meublé a été inscrit au nom de la fille des parties et la villa sise D______ est inscrite au nom des deux enfants des parties; Qu'ainsi, en cas de gain de cause à l'issue de la procédure d'appel, il paraît vraisemblable que l'appelant risque de ne pas pouvoir récupérer la totalité du trop-perçu, qui se chiffre actuellement à 84'000 fr.; Qu'il convient donc d'accorder l'effet suspensif en ce qui concerne l'arriéré de la contribution d'entretien; Qu'aucun élément ne rend vraisemblable que cet octroi serait de nature à causer un préjudice difficilement réparable à l'intimée, ce que celle-ci ne soutient d'ailleurs pas; Que le montant susmentionné de 78'000 fr. dont dispose l'intimée rend en revanche vraisemblable qu'elle sera en mesure de rembourser un éventuel trop-perçu versé durant la procédure d'appel, qui - compte tenu de la durée prévisible de cette dernière - ne devrait pas donner lieu au versement de contributions atteignant ce montant;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- 5/5 -</w:t>
      </w:r>
    </w:p>
    <w:p>
      <w:r>
        <w:t>C/13839/2013 PAR CES MOTIFS, La Chambre civile : Statuant sur suspension de l'exécution : Admet la requête de A______ tendant à la suspension de l'effet exécutoire attaché au chiffre 3 du dispositif du jugement JTPI/3100/2015 rendu le 10 mars 2015 par le Tribunal de première instance dans la procédure C/13839/2013-21 en ce qui concerne l'arriéré de la contribution due en faveur de B______. La rejette pour le surplus. Dit qu'il sera statué sur les frais et dépens de la présente décision avec la décision sur le fond. Siégeant : Madame Florence KRAUSKOPF, présidente; Madame Anne-Lise JAQUIER, greffière.</w:t>
      </w:r>
    </w:p>
    <w:p>
      <w:r>
        <w:t>La présidente de la Chambre civile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