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ACJC/427/2026 vom 6. März 2026</w:t>
      </w:r>
    </w:p>
    <w:p>
      <w:r>
        <w:t>GE Cour de justice, 2026-03-06, FR</w:t>
      </w:r>
    </w:p>
    <w:p>
      <w:r>
        <w:rPr>
          <w:b/>
        </w:rPr>
        <w:t xml:space="preserve">Quelle: </w:t>
      </w:r>
      <w:r>
        <w:t>https://mcp.opencaselaw.ch/entscheid/ge_gerichte_ACJC_427_2026</w:t>
      </w:r>
    </w:p>
    <w:p>
      <w:r>
        <w:t>FR: GE_GERICHTE ACJC/427/2026 du 6 mars 2026</w:t>
      </w:r>
    </w:p>
    <w:p>
      <w:r>
        <w:t>IT: GE_GERICHTE ACJC/427/2026 del 6 marzo 2026</w:t>
      </w:r>
    </w:p>
    <w:p>
      <w:pPr>
        <w:pStyle w:val="Heading2"/>
      </w:pPr>
      <w:r>
        <w:t>Erwägungen</w:t>
      </w:r>
    </w:p>
    <w:p>
      <w:r>
        <w:rPr>
          <w:b/>
        </w:rPr>
        <w:t>E. 1.1</w:t>
      </w:r>
    </w:p>
    <w:p>
      <w:r>
        <w:t>Le jugement entrepris ayant été communiqué aux parties après le 1er janvier 2025, la procédure de recours est régie par le nouveau droit de procédure (art. 405 al. 1 CPC).</w:t>
      </w:r>
    </w:p>
    <w:p>
      <w:r>
        <w:t>En revanche, la procédure de première instance, qui a débuté en 2024, demeure régie par le CPC dans sa version antérieure au 1er janvier 2025 (art. 404 al. 1 CPC, sous réserve des dispositions d’application immédiate énumérées à l’art. 407f CPC. S'agissant d'une procédure de mainlevée, seule la voie du recours est ouverte (art. 319 let. a et 309 let. b ch. 3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1.4</w:t>
      </w:r>
    </w:p>
    <w:p>
      <w:r>
        <w:t>La procédure de mainlevée provisoire est une procédure sur pièces, dont le but n'est pas de constater la réalité de la créance en poursuite, mais l'existence d'un</w:t>
      </w:r>
    </w:p>
    <w:p>
      <w:r>
        <w:t>- 7/13 -</w:t>
      </w:r>
    </w:p>
    <w:p>
      <w:r>
        <w:t>C/25424/2024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arrêts du Tribunal fédéral 5A_534/2023 du 13 décembre 2023 consid. 5.2.1; 5A_1015/2020 du 30 août 2021 consid. 3.1). La décision du juge de la mainlevée provisoire ne prive pas les parties du droit de soumettre à nouveau la question litigieuse au juge ordinaire (art. 79 et 83 al. 2 LP; ATF 136 III 528 consid. 3.2; arrêts du Tribunal fédéral 5A_534/2023 précité loc. cit.; 5A_1015/2020 précité loc. cit.).</w:t>
      </w:r>
    </w:p>
    <w:p>
      <w:r>
        <w:rPr>
          <w:b/>
        </w:rPr>
        <w:t>E. 2</w:t>
      </w:r>
    </w:p>
    <w:p>
      <w:r>
        <w:t>Le premier juge n’a pas statué sur la recevabilité des conclusions nouvelles formulées par les recourants le 26 mars 2025. 2.1.1 A l’aune du code de procédure civile dans sa version antérieure au 1er janvier 2025, appliqué en première instance (cf. consid. 1.1), après la clôture de la phase d’allégation – soit après la clôture du second échange d’écritures, après l’audience de débats d’instruction (art. 226 al. 2 CPC), ou après l’ouverture des débats principaux (art. 229 al. 2 aCPC), la présentation de nova n’est plus possible qu’aux conditions restrictives de l’art. 229 al. 1 aCPC (ATF 147 III 475 consid. 2.3.2 et 2.3.3; 144 III 117 consid. 2.2). La jurisprudence publiée aux ATF 146 III 237 consid. 3.1, précisant la solution esquissée aux ATF 144 III 117 consid. 2.2, pose le principe que, dans une procédure sommaire, les nova sont admis de manière illimitée jusqu'à la clôture de la phase d'allégation, soit, lorsqu'un second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c'est-à-dire que les vrais et pseudo nova ne peuvent plus être introduits qu'aux conditions strictes de l'art. 229 al. 2 CPC (arrêt du Tribunal fédéral 5D_90/2022 du 26 avril 2023 consid. 4.1). 2.1.2 Selon l'art. 229 al. 3 CPC, lorsqu’il doit établir les faits d’office, le tribunal admet des faits et moyens de preuve nouveaux jusqu’aux délibérations. La phase des délibérations débute dès la clôture des débats principaux, s'il y en a eu,</w:t>
      </w:r>
    </w:p>
    <w:p>
      <w:r>
        <w:t>- 8/13 -</w:t>
      </w:r>
    </w:p>
    <w:p>
      <w:r>
        <w:t>C/25424/2024 respectivement dès que le juge a communiqué aux parties que la cause a été gardée à juger (ATF 143 III 272 consid. 2.3.2). La question de savoir si cette disposition est aussi applicable en procédure sommaire a été laissée ouverte par le Tribunal fédéral (cf. ATF 146 III 237 consid. 3.1; arrêt du Tribunal fédéral 5A_251/2023 du 18 novembre 2024 consid. 4.4.2).</w:t>
      </w:r>
    </w:p>
    <w:p>
      <w:r>
        <w:rPr>
          <w:b/>
        </w:rPr>
        <w:t>E. 2.2</w:t>
      </w:r>
    </w:p>
    <w:p>
      <w:r>
        <w:t>En l’espèce, les recourants ont produit, à l’appui de leurs conclusions modifiées, un arrêt rendu par la Cour, opposant les mêmes parties que celles à la présente procédure, soit un vrai nova et s’en sont prévalus sans délai. Il s’ensuit que ces conclusions modifiées, qui visent d’ailleurs une réduction de celles-ci, sont admissibles.</w:t>
      </w:r>
    </w:p>
    <w:p>
      <w:r>
        <w:rPr>
          <w:b/>
        </w:rPr>
        <w:t>E. 3</w:t>
      </w:r>
    </w:p>
    <w:p>
      <w:r>
        <w:t>Les recourants reprochent au Tribunal d’avoir considéré que l’intimé avait rendu vraisemblable l’exception d’inexécution du contrat et d’avoir en conséquence refusé de prononcer la mainlevée provisoire de l’opposition formée au commandement de payer. 3.1.1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148 III 145 consid. 4.3.3; 145 III 20 précité et les références). 3.1.2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149 III 310 consid. 5.2.1.2;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149 III 310 consid. 5.2.1.2; 132 III 140 consid. 4.1.2).</w:t>
      </w:r>
    </w:p>
    <w:p>
      <w:r>
        <w:t>- 9/13 -</w:t>
      </w:r>
    </w:p>
    <w:p>
      <w:r>
        <w:t>C/25424/2024 3.1.3 Il appartient au poursuivant de prouver l'exigibilité de la dette (ATF 148 III 145 consid. 4.1.1; 145 III 20 consid. 4.3.2). Le poursuivi ne peut opposer l'inexigibilité de sa dette que s'il peut se prévaloir de l'art. 82 CO. Tel n'est notamment pas le cas s'il doit prester en premier (STAEHELIN, in Basler Kommentar, Bundesgesetz über Schuldbetreibung und Konkurs, vol. I, 3e éd. 2021, n. 101 ad art. 82 LP), à moins que l'antériorité ne soit que temporaire (ATF 127 III 199 consid. 3b/bb); dans cette hypothèse, si le second terme est échu lors de la mainlevée, les deux prestations sont exigibles, si bien que le poursuivi pourra invoquer l'exception d'inexécution (ATF 148 III 145 consid. 4.1.1; ABBET, La mainlevée provisoire et les contrats bilatéraux, Développements récents, JdT II 2021 p. 4 ss [8 s.]). 3.1.4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(ATF 148 III 145 consid. 4.1.2; arrêt du Tribunal fédéral 5A_940/2020 du 27 janvier 2021 consid. 3.2.2 et les autres références).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3.1.5 L'exigibilité (art. 75 CO) signifie que le créancier peut exiger la prestation et que le débiteur doit l'exécuter. Le moment où la prestation est exigible est déterminé en premier lieu par la convention des parties (ATF 129 III 535 consid. 3.2.1; arrêt du Tribunal fédéral 4A_298/2019 du 31 mars 2020 consid. 6.1). En présence d'obligations réciproques dues en vertu d'un contrat bilatéral, l'art. 82 CO prévoit que celui qui poursuit l'exécution d'un tel contrat doit avoir exécuté ou offert d'exécuter sa propre obligation, à moins qu'il ne soit au bénéfice d'un terme d'après les clauses ou la nature du contrat. En d'autres termes, les prestations doivent être exécutées simultanément (ou "trait pour trait"). Le débiteur auquel l'exécution est réclamée a le droit de refuser sa prestation en soulevant l'exception d'inexécution si, de son côté, le créancier qui poursuit l'exécution n'a pas exécuté ou offert d'exécuter sa contreprestation (ATF 148 III 145 consid. 4.2.1.1; HOHL, Commentaire romand, Code des obligations, vol. I, 3ème éd. 2021, n. 1 ad art. 82 CO). Pour la vente, l'art. 213 al. 1 CO prévoit, que, sauf convention contraire, le prix est exigible aussitôt que la chose est en possession de l'acheteur. Cette disposition confirme le principe précité (cf. aussi art. 184 al. 2 CO; ATF 129 III 535 consid. 3.2.1).</w:t>
      </w:r>
    </w:p>
    <w:p>
      <w:r>
        <w:t>- 10/13 -</w:t>
      </w:r>
    </w:p>
    <w:p>
      <w:r>
        <w:t>C/25424/2024 3.1.6 Selon l'art. 91 CO, le créancier tombe en demeure s'il refuse sans motif légitime d'accepter la prestation qui lui est régulièrement offerte (art. 91 CO). Dans un contrat synallagmatique, cela a notamment pour conséquence qu'il ne peut plus opposer l'exception d'inexécution (art. 82 CO) à l'encontre de l'action en exécution intentée par l'autre partie (arrêts du Tribunal fédéral 4C_236/2002 du 29 octobre 2002 consid. 3; 4C_19/1989 du 24 octobre 1989 consid. 2a, non publié in ATF 115 II 451). Pour la vente, l'art. 211 al. 1 CO prévoit que l'acheteur est tenu d'accepter la chose vendue, pourvu qu'elle lui soit offerte dans les conditions stipulées. La notion d'offre est la même qu'à l'art. 91 CO (KOLLER, in Basler Kommentar, Obligationenrecht, vol. I, 7ème éd. 2020, n. 7 ad art. 211 CO; VENTURI/ZEN- RUFFINEN, Commentaire romand, Code des obligations, vol. I, 3ème éd. 2021, n. 8 ad art. 211 CO). Si la nature de ce devoir (incombance ou obligation) est controversée, le refus produisant, selon le point de vue retenu, les effets de la demeure soit du créancier (art. 91 ss CO) soit du débiteur (art. 102 ss CO: cf. KOLLER, op. cit., n. 4 ss et 10 ss ad art. 211 CO), il est admis que, lorsque l'inaccomplissement de l'acte préparatoire est lié au non-paiement du prix, les règles sur la demeure du débiteur s'appliquent (ATF 148 III 145 consid. 4.2.1.2) Dans tous les cas, il faut voir en général dans le refus de l'acheteur d'accepter la chose également un refus, par acte concluant, de payer le prix (ATF 110 II 148 consid. 1a et b; KOLLER, op. cit., n. 13 ad art. 211 CO; VENTURI/ZEN-RUFFINEN, op. cit., n. 11 ad art. 211 CO). 3.1.7 En principe, l'offre au sens de l'art. 82 CO doit être effective (ATF 111 II 463 consid. 5a). Ainsi, le débiteur doit avoir entrepris tout ce qui était nécessaire pour l'exécution de manière à ce que celle-ci ne requière plus que l'acceptation du créancier (LOERTSCHER/TOLOU, Commentaire romand, Code des obligations, vol. I, 3ème éd. 2021, n. 14 ad art. 91 CO; cf. aussi arrêts du Tribunal fédéral 4C_19/1989 précité consid. 2a; C_345/1985 du 25 février 1986 consid. 3c). En pratique, l'offre effective la plus courante est la consignation (WEBER, Berner Kommentar, Art. 68-96 OR, 2ème éd. 2005, n. 186 ad art. 82 CO). La consignation démontre en effet l'offre de cette nature (SCHRANER, in Zürcher Kommentar, Die Erfüllung der Obligationen, Art. 68-96 OR, 3ème éd. 2000, n. 148 ad art. 82 CO). Exceptionnellement, une offre verbale peut suffire. Tel est le cas si la dette est quérable (ATF 119 II 437 consid. 2b; 109 II 26 consid. 4a; arrêts du Tribunal fédéral 4C_199/2004 du 11 janvier 2005 consid. 9.1.3.1; C_345/1985 précité; P_719/1980 du 11 novembre 1981 consid. 3c) ou si le créancier refuse d'accomplir les actes préparatoires nécessaires pour que le débiteur puisse exécuter son obligation, ou encore refuse manifestement d'emblée d'accepter la prestation (ATF 148 III 145 consid. 4.2.2.1).</w:t>
      </w:r>
    </w:p>
    <w:p>
      <w:r>
        <w:t>- 11/13 -</w:t>
      </w:r>
    </w:p>
    <w:p>
      <w:r>
        <w:t>C/25424/2024 Pour que son offre verbale soit valable, le débiteur doit toutefois être en mesure de procéder à l'exécution effective (ATF 111 II 463 consid. 5a; arrêt du Tribunal fédéral 4C_460/1993 du 3 mai 1994 consid. 2c/aa; HOHL, op. cit., n. 8 ad art. 82 CO; JEANPRETRE, op. cit., p. 280; WEBER, op. cit., n. 188 ad art. 82 CO).</w:t>
      </w:r>
    </w:p>
    <w:p>
      <w:r>
        <w:t>3.2.1 En l’espèce, le Tribunal a interprété le texte de la convention de vente conclue par les parties en ce sens qu’il n’en résultait pas de manière claire que la volonté des parties aurait été de s’écarter du régime général prévu par l’art. 184 al. 2 CO (prestations simultanées) et de convenir du paiement du prix de vente avant le transfert des actions. Le texte de la convention prévoyait que les actions devaient être transférées au fur et à mesure des paiements, soit « en même temps et proportionnellement »; par ailleurs, le transfert des actions devait intervenir en même temps que les paiements, au 30 juin de chaque année dès le 30 juin 2022. Le premier juge a également retenu que les recourants auraient dû offrir le transfert des actions correspondant aux tranches de paiement, avant de poursuivre l’intimé en exécution dudit paiement, ce qu’ils n’avaient pas démontré avoir fait.</w:t>
      </w:r>
    </w:p>
    <w:p>
      <w:r>
        <w:t>Les recourants reprochent au Tribunal de s’être limité à une seule méthode d’interprétation, se limitant à l’analyse du texte, sans recourir « à tous les éléments d’interprétation à sa disposition ». Ce faisant, les recourants perdent de vue que le pouvoir d’examen du juge en procédure sommaire, comme en l’espèce, est limité aux éléments intrinsèques au titre, et que celui-ci ne peut rechercher d’autres éléments extrinsèques. Ainsi, pour autant que les allégués des recourants relatifs à l’absence de garantie du prix de vente et de clause pénale soient recevables, ils ne permettent pas de retenir que la volonté des parties aurait été de convenir que le paiement du prix devait intervenir avant la remise des actions. Les recourants soutiennent que la locution « au fur et à mesure » figurant à l’art. 3 de la convention doit être comprise en ce sens que les actions seraient transférées après chaque tranche de paiement. Une telle volonté des parties résulterait du contenu global des termes de la convention. Ce grief ne saurait prospérer. La convention ne contient pas de préambule ou de disposition particulière relative à l’ordre d’exécution des prestations des parties. La vente des actions et des parts sociales des trois sociétés concernées a pris effet le 1er juillet 2022, et le prix de vente devait être versé dans sa totalité au 30 juin 2027. Les parties sont convenues de versements échelonnés, au 30 juin de chaque année, après le paiement d’une première tranche au 1er juillet 2022, et du transfert, aux mêmes échéances, des tranches d’actions de D______ SA. Les parties ont également prévu qu’en cas de paiement anticipé, le transfert d’actions serait effectif à la date du paiement (art. 3 de la convention). Le texte de cet accord ne permet pas de retenir que les parties auraient voulu un paiement préalable du prix au transfert des actions, ce que le Tribunal a retenu à bon droit.</w:t>
      </w:r>
    </w:p>
    <w:p>
      <w:r>
        <w:t>- 12/13 -</w:t>
      </w:r>
    </w:p>
    <w:p>
      <w:r>
        <w:t>C/25424/2024 Les recourants font encore valoir que la convention devrait être interprétée en défaveur de l’intimé, auteur de la convention. Toutefois, ce n’est que si l'interprétation selon le principe de la confiance ne permet pas de dégager le sens de clauses ambiguës, que celles-ci sont à interpréter en défaveur de celui qui les a rédigées, en vertu de la règle "in dubio contra stipulatorem" (ATF 133 III 61 consid. 2.2.2.3; 122 III 118 consid. 2a). Tel n’est pas le cas en l’espèce, les clauses de la convention n’étant pas ambigües. Il sera par ailleurs rappelé que si l’interprétation du titre est source de doutes, la mainlevée ne peut pas être prononcée. C’est dès lors à bon droit que le Tribunal a considéré que les prestations des parties devaient être exécutées simultanément. 3.2.2 Les recourants reprochent au Tribunal d’avoir admis à tort l’exception d’exécution soulevée par l’intimé. Ils soutiennent avoir offert d’exécuter leur prestation. Ils en veulent pour preuve les courriers de mise en demeure d’exécution de la convention qu’ils ont adressés à l’intimé, « ce qui ne pouvait être compris autrement que l’offre de transférer les actions en échange du paiement du prix de vente convenu dans la Convention ». On ne trouve toutefois trace d’offre des recourants de remettre à l’intimé les actions correspondant aux tranches de paiement requis. Les courriers se limitent à solliciter le paiement desdites tranches. Les recourants ne l’ont pas non plus allégué dans leur requête de mainlevée. Par conséquent, l’intimé était fondé à soulever l’exception d’inexécution, les recourants, vendeurs, n’ayant pas démontré avoir livré la chose ou régulièrement offert la livraison de celle-ci. On ne discerne aucun abus de droit de l’intimé à soulever cette exception.</w:t>
      </w:r>
    </w:p>
    <w:p>
      <w:r>
        <w:rPr>
          <w:b/>
        </w:rPr>
        <w:t>E. 3.3</w:t>
      </w:r>
    </w:p>
    <w:p>
      <w:r>
        <w:t>Entièrement infondé, le recours sera rejeté.</w:t>
      </w:r>
    </w:p>
    <w:p>
      <w:r>
        <w:rPr>
          <w:b/>
        </w:rPr>
        <w:t>E. 4</w:t>
      </w:r>
    </w:p>
    <w:p>
      <w:r>
        <w:t>Les frais judiciaires de recours, y compris la décision sur mesures superprovisionnelles, seront arrêtés à 950 fr. (art. 48 et 61 OELP) et mis à la charge des recourants, qui succombent (art. 106 al. 1 CPC), conjointement et solidairement entre eux, et compensés avec l'avance versée, acquise à l'Etat de Genève (art. 111 al. 1 CPC). Ils seront en outre condamnés, conjointement et solidairement entre eux, à verser à l’intimé 1'500 fr. à titre de dépens de recours (art. 84, 85, 88 et 90 RTFMC). * * * * *</w:t>
      </w:r>
    </w:p>
    <w:p>
      <w:r>
        <w:t>- 13/13 -</w:t>
      </w:r>
    </w:p>
    <w:p>
      <w:r>
        <w:t>C/25424/2024 PAR CES MOTIFS, La Chambre civile :</w:t>
      </w:r>
    </w:p>
    <w:p>
      <w:r>
        <w:t>A la forme : Déclare recevable le recours interjeté par A______ et B______ contre le jugement JTPI/17487/2025 rendu le 16 décembre 2025 par le Tribunal de première instance dans la cause C/25424/2024–27 SML. Au fond : Le rejette. Déboute les parties de toutes autres conclusions. Sur les frais : Arrête les frais judiciaires du recours à 950 fr., compensés avec l’avance de frais fournie, acquise à l’Etat de Genève, et les met à la charge de A______ et B______, conjointement et solidairement entre eux. Condamne A______ et B______, conjointement et solidairement, à verser à C______ 1'500 fr. à titre de dépens de recours. Siégeant : Madame Pauline ERARD, présidente; Madame Sylvie DROIN, Madame Nathalie LANDRY,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