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ACJC/425/2020 vom 4. Oktober 2019</w:t>
      </w:r>
    </w:p>
    <w:p>
      <w:r>
        <w:t>GE Cour de justice, 2019-10-04, FR</w:t>
      </w:r>
    </w:p>
    <w:p>
      <w:r>
        <w:rPr>
          <w:b/>
        </w:rPr>
        <w:t xml:space="preserve">Quelle: </w:t>
      </w:r>
      <w:r>
        <w:t>https://mcp.opencaselaw.ch/entscheid/ge_gerichte_ACJC_425_2020</w:t>
      </w:r>
    </w:p>
    <w:p>
      <w:r>
        <w:t>FR: GE_GERICHTE ACJC/425/2020 du 4 octobre 2019</w:t>
      </w:r>
    </w:p>
    <w:p>
      <w:r>
        <w:t>IT: GE_GERICHTE ACJC/425/2020 del 4 ottobre 2019</w:t>
      </w:r>
    </w:p>
    <w:p>
      <w:pPr>
        <w:pStyle w:val="Heading2"/>
      </w:pPr>
      <w:r>
        <w:t>Erwägungen</w:t>
      </w:r>
    </w:p>
    <w:p>
      <w:r>
        <w:rPr>
          <w:b/>
        </w:rPr>
        <w:t>E. 2</w:t>
      </w:r>
    </w:p>
    <w:p>
      <w:r>
        <w:t>Le Tribunal a considéré que l'intimé était au bénéfice de deux reconnaissances de dette totalisant 27'000 fr. La mainlevée provisoire devait être également prononcée pour le solde d'honoraires en 54'196 fr. 55 dans la mesure où la recourante "connaissait le montant de la dette d'honoraires et avait confirmé sa volonté de s'en acquitter". L'intimé avait exposé avoir rappelé à la recourante l'étendue de ses honoraires en plus de 50'000 fr. et la recourante avait déclaré sa volonté de les payer. Le montant des honoraires n'avait pas été contesté même après la résiliation du mandat. Sur la base de ces éléments, le Tribunal a relevé ce qui suit "puisque la citée n'a pas saisi la Commission en matière d'honoraires d'avocats, ni participé à la présente procédure, le juge fera droit aux conclusions du requérant, à l'exception du poste (iv) du commandement de payer concernant l'émolument de décision de CHF 100.- ".</w:t>
      </w:r>
    </w:p>
    <w:p>
      <w:r>
        <w:t>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w:t>
      </w:r>
    </w:p>
    <w:p>
      <w:r>
        <w:t>- 6/10 -</w:t>
      </w:r>
    </w:p>
    <w:p>
      <w:r>
        <w:t>C/4999/2019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 dire s'il a exécuté ou offert d'exécuter sa propre prestation en rapport d'échange (arrêt du Tribunal fédéral 5A_1017/2017 du 12 septembre 2018 consid. 4.1.1). Le contrat de mandat à titre onéreux constitue une reconnaissance de dette pour la rétribution du mandataire si cette rétribution est chiffrée de façon précise dans le titre lui-même ou dans un écrit annexé auquel il se rapporte. Si le mandant poursuivi prétend que le mandat n'a pas été exécuté ou qu'il l'a mal été et que son affirmation n'est pas sans consistance, il appartient au mandataire de prouver qu'il a rempli ses obligations (ABBET/VEUILLET, La mainlevée de l'opposition, 2017, n. 187 et 189, ad art. 82 LP). Il incombe au créancier d'apporter la preuve stricte de l'existence d'un titre de mainlevée (arrêt du Tribunal fédéral 5A_1017/2017 du 12 septembre 2018 consid. 4.2, 4.3.1 et 4.3.2). Le simple silence gardé à réception d'une facture ne vaut pas reconnaissance de dette (ABBET/VEUILLET, op. cit., n. 44 ad art. 82 LP). 2.1.2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 2.1.3 Le Tribunal examine d'office non seulement les conditions de recevabilité de la requête en mainlevée de l'opposition, mais également les conditions d'admission ou de rejet de celle-ci, notamment l'existence et la validité du titre de mainlevée et les trois identités entre le poursuivant et le créancier désigné, entre le poursuivi et le débiteur désigné ainsi qu'entre la prétention déduite en poursuite et la dette reconnue (ABBET/VEUILLET, op. cit., n. 105 ad art. 84 LP).</w:t>
      </w:r>
    </w:p>
    <w:p>
      <w:r>
        <w:rPr>
          <w:b/>
        </w:rPr>
        <w:t>E. 2.2</w:t>
      </w:r>
    </w:p>
    <w:p>
      <w:r>
        <w:t>En l'espèce, c'est à juste titre que le Tribunal a prononcé la mainlevée de l'opposition pour les postes n° 1 et 2 du commandement de payer. En effet, l'intimé est bien au bénéfice de documents signés par la recourante valant reconnaissance de dette pour les montants de 16'200 fr. et 10'800 fr. La recourante ne rend pour sa part pas vraisemblable qu'elle s'est acquittée des montants en question, ni que les prestations fournies étaient défectueuses, étant souligné que</w:t>
      </w:r>
    </w:p>
    <w:p>
      <w:r>
        <w:t>- 7/10 -</w:t>
      </w:r>
    </w:p>
    <w:p>
      <w:r>
        <w:t>C/4999/2019 les pièces nouvelles de la recourante et ses allégations formulées pour la première fois devant la Cour sont irrecevables. L'intimé n'a par contre produit aucun document valant reconnaissance de dette pour le poste n° 3 du commandement de payer, à savoir le solde d'honoraires en 54'196 fr. 55. En effet, l'intimé n'a fourni au Tribunal aucune pièce signée par la recourante d'où ressort sa volonté de lui payer le montant précité. En particulier, le "Power of attorney" signé par la recourante ne mentionne aucun montant en relation avec les honoraires et n'indique même pas de tarif horaire. L'absence de contestation par la recourante des indications que l'intimé lui a données dans un échange de courriels d'octobre 2017, selon lesquelles le montant des honoraires dus était de plus de 50'000 fr. à l'époque, ne constitue pas une reconnaissance de dette au sens de l'art. 82 LP. Le fait que la recourante n'ait pas saisi la Commission en matière d'honoraires d'avocats n'est quant à lui pas pertinent et ne saurait suffire à créer une reconnaissance de dette. Il en va de même de l'absence de comparution de la recourante lors de l'audience du Tribunal du 8 juillet 2019. En effet, même en l'absence de la partie citée, il incombait au Tribunal d'examiner d'office, sur la base des pièces produites par l'intimé, la question de l'existence d'un titre de mainlevée de l'opposition. C'est par conséquent à tort que le Tribunal a prononcé la mainlevée de l'opposition formée au commandement de payer pour le poste n° 3 de celui-ci. Le jugement querellé sera par conséquent modifié sur ce point.</w:t>
      </w:r>
    </w:p>
    <w:p>
      <w:r>
        <w:rPr>
          <w:b/>
        </w:rPr>
        <w:t>E. 3.1</w:t>
      </w:r>
    </w:p>
    <w:p>
      <w:r>
        <w:t>Les frais sont mis à charge de la partie succombante (art. 106 al. 1 CPC). Lorsqu'aucune des parties n'obtient entièrement gain de cause, les frais sont répartis selon le sort de la cause (art. 106 al. 2 CPC). Si l'instance d'appel statue à nouveau, elle se prononce sur les frais de première instance (art. 318 al. 3 et 327 CPC). En cas de modification de la décision attaquée, l'autorité cantonale de recours statue d'office sur la question des frais de première instance et sur demande uniquement sur la question des dépens (TAPPY, Commentaire romand, n. 21 ad art. 105 CPC).</w:t>
      </w:r>
    </w:p>
    <w:p>
      <w:r>
        <w:rPr>
          <w:b/>
        </w:rPr>
        <w:t>E. 3.2</w:t>
      </w:r>
    </w:p>
    <w:p>
      <w:r>
        <w:t>En l'espèce, vu l'issue du litige, il se justifie de mettre les frais judiciaires de première et seconde instances à charge des parties à raison d'une moitié chacune.</w:t>
      </w:r>
    </w:p>
    <w:p>
      <w:r>
        <w:t>- 8/10 -</w:t>
      </w:r>
    </w:p>
    <w:p>
      <w:r>
        <w:t>C/4999/2019 Les frais judiciaires de première instance seront arrêtés à 500 fr. et compensés avec l'avance fournie par l'intimé, acquise à l'Etat de Genève. La recourante devra dès lors payer 250 fr. à l'intimé à ce titre (art. 48 OELP et 111 al. 1 CPC). La recourante n'ayant pas conclu à la modification des dépens alloués à l'intimé par le Tribunal, le montant de 800 fr. fixé par ce dernier sera confirmé, puisque la Cour ne statue pas d'office sur la question des dépens. Les frais judiciaires de recours seront quant à eux arrêtés à 750 fr. et compensés avec l'avance de même montant versée par la recourante (art. 48 et 61 OELP et 111 al. 1 CPC). L'intimé sera condamné à verser 375 fr. à la recourante à ce titre. Aucune des parties n'obtenant entièrement gain de cause en seconde instance, elles garderont chacune leurs propres dépens de recours à leur charge. * * * * *</w:t>
      </w:r>
    </w:p>
    <w:p>
      <w:r>
        <w:t>- 9/10 -</w:t>
      </w:r>
    </w:p>
    <w:p>
      <w:r>
        <w:t>C/4999/2019 PAR CES MOTIFS, La Chambre civile : A la forme : Déclare recevable le recours interjeté par A______ contre le jugement JTPI/13988/2019 rendu le 4 octobre 2019 par le Tribunal de première instance dans la cause C/4999/2019-8 SML. Au fond : Annule les chiffres 1 et 2 du dispositif de ce jugement et, statuant à nouveau : Prononce la mainlevée provisoire de l'opposition formée par A______ au commandement de payer, poursuite n° 1______, à concurrence des sommes suivantes : 16'200 fr. avec intérêt à 5% l'an dès le 30 septembre 2016 et 10'800 fr. avec intérêt à 5% l'an dès le 30 janvier 2017. Met à charge des parties à raison d'une moitié chacune les frais judiciaires, arrêtés à 500 fr. et compensés avec l'avance versée, acquise à l'Etat de Genève. Condamne A______ à verser 250 fr. à B______ au titre des frais judiciaires. Déboute les parties de toutes autres conclusions. Sur les frais : Met à charge des parties à raison d'une moitié chacune les frais judiciaires de recours, arrêtés à 750 fr. et compensés avec l'avance versée, acquise à l'Etat de Genève. Condamne B______ à verser 375 fr. à A______ au titre des frais judiciaires de recours. Dit qu'il n'est pas alloué de dépens de recours. Siégeant : Monsieur Laurent RIEBEN, président; Madame Fabienne GEISINGER-MARIETHOZ et Madame Nathalie RAPP, juges; Madame Mélanie DE RESENDE PEREIRA, greffière. Le président : Laurent RIEBEN</w:t>
      </w:r>
    </w:p>
    <w:p>
      <w:r>
        <w:t>La greffière : Mélanie DE RESENDE PEREIRA</w:t>
      </w:r>
    </w:p>
    <w:p>
      <w:r>
        <w:t>- 10/10 -</w:t>
      </w:r>
    </w:p>
    <w:p>
      <w:r>
        <w:t>C/4999/2019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