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ACJC/424/2026 vom 6. März 2026</w:t>
      </w:r>
    </w:p>
    <w:p>
      <w:r>
        <w:t>GE Cour de justice, 2026-03-06, FR</w:t>
      </w:r>
    </w:p>
    <w:p>
      <w:r>
        <w:rPr>
          <w:b/>
        </w:rPr>
        <w:t xml:space="preserve">Quelle: </w:t>
      </w:r>
      <w:r>
        <w:t>https://mcp.opencaselaw.ch/entscheid/ge_gerichte_ACJC_424_2026</w:t>
      </w:r>
    </w:p>
    <w:p>
      <w:r>
        <w:t>FR: GE_GERICHTE ACJC/424/2026 du 6 mars 2026</w:t>
      </w:r>
    </w:p>
    <w:p>
      <w:r>
        <w:t>IT: GE_GERICHTE ACJC/424/2026 del 6 marzo 2026</w:t>
      </w:r>
    </w:p>
    <w:p>
      <w:pPr>
        <w:pStyle w:val="Heading2"/>
      </w:pPr>
      <w:r>
        <w:t>Erwägungen</w:t>
      </w:r>
    </w:p>
    <w:p>
      <w:r>
        <w:rPr>
          <w:b/>
        </w:rPr>
        <w:t>E. 1</w:t>
      </w:r>
    </w:p>
    <w:p>
      <w:r>
        <w:t>1.1 S'agissant d'une procédure de mainlevée, seule la voie du recours est ouverte (art. 319 let. a et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Le recours a été formé dans le délai et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 2010, n. 2307).</w:t>
      </w:r>
    </w:p>
    <w:p>
      <w:r>
        <w:t>- 6/13 -</w:t>
      </w:r>
    </w:p>
    <w:p>
      <w:r>
        <w:t>C/14964/2025 La maxime des débats s'applique et la preuve des faits allégués doit être apportée par titre (art. 55 al. 1, 255 let. a a contrario et 254 CPC). En outre, la maxime de disposition s'applique (art. 58 al. 1 CPC).</w:t>
      </w:r>
    </w:p>
    <w:p>
      <w:r>
        <w:rPr>
          <w:b/>
        </w:rPr>
        <w:t>E. 2</w:t>
      </w:r>
    </w:p>
    <w:p>
      <w:r>
        <w:t>Le recourant a formé de nouveaux allégués et il a produit de nouvelles pièces.</w:t>
      </w:r>
    </w:p>
    <w:p>
      <w:r>
        <w:rPr>
          <w:b/>
        </w:rPr>
        <w:t>E. 2.1</w:t>
      </w:r>
    </w:p>
    <w:p>
      <w:r>
        <w:t>Les conclusions, allégations de fait et preuves nouvelles sont irrecevables dans le cadre d'un recours (art. 326 CPC).</w:t>
      </w:r>
    </w:p>
    <w:p>
      <w:r>
        <w:rPr>
          <w:b/>
        </w:rPr>
        <w:t>E. 2.2</w:t>
      </w:r>
    </w:p>
    <w:p>
      <w:r>
        <w:t>En l’espèce, la recevabilité des nouveaux allégués et des pièces nouvelles peut souffrir de demeurer indécise dès lors qu’ils ne sont pas pertinents pour l’issue du litige, compte tenu de ce qui suit.</w:t>
      </w:r>
    </w:p>
    <w:p>
      <w:r>
        <w:rPr>
          <w:b/>
        </w:rPr>
        <w:t>E. 3</w:t>
      </w:r>
    </w:p>
    <w:p>
      <w:r>
        <w:t>Le recourant sollicite la suspension de la présente procédure.</w:t>
      </w:r>
    </w:p>
    <w:p>
      <w:r>
        <w:rPr>
          <w:b/>
        </w:rPr>
        <w:t>E. 3.1</w:t>
      </w:r>
    </w:p>
    <w:p>
      <w:r>
        <w:t>La procédure peut notamment être suspendue lorsque la décision dépend du sort d'un autre procès (art. 126 CPC).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 du Tribunal fédéral 5A_218/2013 du 17 avril 2013 consid. 3.1; FREI, Berner Kommentar, ZPO, 2012, n. 1 ad art. 126 CPC). Le juge bénéficie d'un large pouvoir d'appréciation en la matière (arrêt du Tribunal fédéral 4A_683/2014 du 17 février 2015 consid. 2.1). La suspension est notamment autorisée lorsque la décision dépend de l'issue d'une autre procédure (ATF 141 III 549 consid. 6.5; 135 III 127 consid. 3.4.2; arrêt du Tribunal fédéral 4A_175/2022 du 7 juillet 2022 consid. 5.2-5.4). Une suspension dans l'attente de l'issue d'un autre procès peut se justifier en cas de procès connexes, même s'il n'est pas nécessaire que l'objet du litige ou les parties soient les mêmes; la seconde procédure, dont l'issue sera déterminante pour le sort de la procédure suspendue, doit être déjà bien avancée faute de quoi, en règle générale, la suspension ne sera pas compatible avec l'exigence de célérité (FREI, op. cit., n. 3 et 5 ad art. 126 CPC).</w:t>
      </w:r>
    </w:p>
    <w:p>
      <w:r>
        <w:rPr>
          <w:b/>
        </w:rPr>
        <w:t>E. 3.2</w:t>
      </w:r>
    </w:p>
    <w:p>
      <w:r>
        <w:t>En l’espèce, il ne se justifie pas de suspendre la procédure. L’action en libération de dette qu’entend déposer le recourant n’est pas encore pendante, et, même si elle avait été introduite, cette procédure n’en serait qu’à son début. Il est vraisemblable que des mesures d’instruction devront être diligentée par le Tribunal, ce que le recourant admet. Par ailleurs, la procédure de mainlevée est</w:t>
      </w:r>
    </w:p>
    <w:p>
      <w:r>
        <w:t>- 7/13 -</w:t>
      </w:r>
    </w:p>
    <w:p>
      <w:r>
        <w:t>C/14964/2025 soumise à la procédure sommaire, qui implique une célérité particulière, laquelle s’oppose à une suspension de la procédure.</w:t>
      </w:r>
    </w:p>
    <w:p>
      <w:r>
        <w:t>Le recourant sera dès lors débouté de ses conclusions sur ce point.</w:t>
      </w:r>
    </w:p>
    <w:p>
      <w:r>
        <w:rPr>
          <w:b/>
        </w:rPr>
        <w:t>E. 4</w:t>
      </w:r>
    </w:p>
    <w:p>
      <w:r>
        <w:t>Le recourant reproche au Tribunal de ne pas avoir retenu qu’il avait rendu vraisemblable le caractère simulé du contrat conclu entre les parties et d’avoir violé l’art. 82 LP, en prononçant la mainlevée provisoire.</w:t>
      </w:r>
    </w:p>
    <w:p>
      <w:r>
        <w:t>4.1.1 Selon l'art. 82 al. 1 LP, le créancier dont la poursuite se fonde sur une reconnaissance de dette constatée par acte authentique ou sous seing privé peut requérir la mainlevée provisoire. Le juge la prononce si le débiteur ne rend pas immédiatement vraisemblable sa libération (al. 2). Constitue une reconnaissance de dette au sens de l'art. 82 LP,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 reconnaissance de dette formelle (art. 17 CO), soit d'un ensemble de pièces dans la mesure où il en ressort les éléments nécessaires (ATF 139 III 297 précité). La reconnaissance de dette peut découler du rapprochement de plusieurs pièces, pour autant que les éléments nécessaires en résultent, ce qui signifie que l'acte signé doit se référer ou renvoyer clairement et directement aux documents qui indiquent le montant de la dette (ATF 132 III 480 consid. 4.1; 130 III 87, SJ 2004 I 209 consid. 3.1; 122 II 126 consid. 2). Ainsi, pour valoir titre de mainlevée provisoire, une reconnaissance de dette doit chiffrer de manière précise le montant de la prétention déduite en poursuite ou renvoyer à un document écrit qui permet au juge de la mainlevée de déterminer avec exactitude le montant dû (ABBET/VEUILLET, La mainlevée de l'opposition 2ème éd. 2022, n. 27, 47 et 48 ad art. 82 LP et les références citées). La reconnaissance de dette sous seing privé doit porter la signature du débiteur, apposée à la main. Le message électronique ne portant pas la signature électronique qualifiée ne vaut pas titre de mainlevée (ABBET/VEUILLET, op. cit., n. 15a, 17 et 30 ad art. 82 LP). Des factures - non signées par le débiteur - ne valent pas reconnaissance de dette et ce, même si elles ne sont pas contestées (arrêt du Tribunal fédéral 5P_290/2006 du 12 octobre 2006 consid. 3.2 et les références citées).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w:t>
      </w:r>
    </w:p>
    <w:p>
      <w:r>
        <w:t>- 8/13 -</w:t>
      </w:r>
    </w:p>
    <w:p>
      <w:r>
        <w:t>C/14964/2025 remboursement soit exigible (ATF 136 III 627 consid. 2 et les références; arrêts du Tribunal fédéral 5A_940/2020 du 27 janvier 2021 consid. 3.2.1; 5A_13/2020 du 11 mai 2020 consid. 2.5.1; 5A_473/2015 du 6 novembre 2015 consid. 5.3; 5A_303/2013 du 24 septembre 2013 consid. 4.1; 5A_326/2011 du 6 septembre 2011 consid. 3.2; cf. aussi ATF 140 III 456 consid. 2.2.1; ABBET/VEUILLET, op. cit., n. 166, ad art. 82 LP). 4.1.2 Le juge prononce la mainlevée provisoire si le débiteur ne rend pas immédiatement vraisemblable sa libération (art. 82 al. 2 LP). Le poursuivi peut se prévaloir de tous les moyens de droit civil - exceptions ou objections - qui infirment la reconnaissance de dette (ATF 145 III 20 consid. 4.1.2; 142 III 720 consid. 4.1), notamment l'inexistence de la dette reconnue (arrêts du Tribunal fédéral 5A_227/2021 du 29 juin 2021 consid. 3.3 et les références citées), les vices de la volonté au sens de art. 23 ss CO (arrêts du Tribunal fédéral 5A_652/2011 du 28 février 2012 consid. 3.2.2; 5A_892/2015 du 16 février 2016 consid. 4.3.1 in fine) ou encore la simulation (arrêt du Tribunal fédéral 5A_434/2015 du 21 août 2015 consid. 6.1.2 in fine). Il n'a pas à apporter la preuve absolue (ou stricte) de ses moyens libératoires, mais seulement à les rendre vraisemblables, en principe par titre (art. 254 al. 1 CPC), d'autres moyens de preuves immédiatement disponibles n'étant, le cas échéant, pas exclus (ATF 145 III 160 consid. 5.1; arrêt du Tribunal fédéral 5A_227/2021 du 29 juin 2021 consid. 3.3).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arrêts du Tribunal fédéral 5A_227/2021 du 29 juin 2021 consid. 3.3 et 5A_977/2020 du 5 mai 2021 consid. 2.1). 4.1.3 La procédure de mainlevée est une procédure sur pièces,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Le poursuivi peut se prévaloir de tous les moyens de droit civil - exceptions ou objections - qui infirment la reconnaissance de dette. Il n'a pas à apporter la preuve absolue (ou stricte) de ses moyens libératoires, mais seulement à les rendre vraisemblables, en principe par titre (art. 254 al. 1 CPC). Le juge n'a pas à être persuadé de l'existence des faits allégués; il doit, en se fondant sur des éléments objectifs, avoir l'impression qu'ils se sont produits, sans exclure pour autant la possibilité qu'ils se soient déroulés autrement (ATF 142 III 720 consid. 4.1).</w:t>
      </w:r>
    </w:p>
    <w:p>
      <w:r>
        <w:t>- 9/13 -</w:t>
      </w:r>
    </w:p>
    <w:p>
      <w:r>
        <w:t>C/14964/2025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juge de la mainlevée n'a pas à revoir ou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(ABBET/VEUILLET, op. cit., n. 106 ad art. 84 LP). Le juge de la mainlevée ne peut prendre en compte que les éléments intrinsèques au titre, à l'exclusion des éléments extrinsèques qui échappent à son pouvoir d'examen (ATF 145 III 20 consid. 4.3.3). Lors de la détermination de la volonté des parties, le juge doit tenir compte non seulement de la lettre pure, mais aussi du but du contrat, tout en étant précisé qu'il ne lui appartient pas de déterminer la volonté des parties ou d'interpréter le titre de manière exhaustive (arrêt du Tribunal fédéral 5A_272/2022 du 4 août 2022 consid. 6.1.3). 4.1.4 La procédure de mainlevée est une procédure formaliste dans laquelle le juge doit limiter son examen à la question de l'existence d'une reconnaissance de dette pouvant justifier la mainlevée de l'opposition, sans se pencher sur le fond du litige. Le recourant conserve la possibilité, le cas échéant, de faire valoir ses moyens dans le cadre d'une action ordinaire devant le juge civil (arrêt du Tribunal fédéral 5A_227/2021 du 29 juin 2021 consid. 3.3). 4.1.5 On parle d'acte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Leur volonté véritable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tandis que le contrat dissimulé - que, le cas échéant, les parties ont réellement conclu - est valable si les dispositions légales auxquelles il est soumis quant à sa forme et à son contenu ont été observées (ATF 117 II 382 consid. 2a; 96 II 383 consid. 3a; arrêt 4A_429/2012 du 2 novembre 2012 consid. 4.2, publié in SJ 2013 I p. 286). Savoir si les parties avaient la volonté (réelle) de feindre une convention revient à constater leur volonté interne au moment de la conclusion du contrat, ce qui constitue une question de fait (ATF 126 III 375 consid. 2e/aa; 97 II 201 consid. 5; arrêts du Tribunal fédéral 5A_434/2015 du 21 août 2015; 4A_429/2012 du</w:t>
      </w:r>
    </w:p>
    <w:p>
      <w:r>
        <w:t>- 10/13 -</w:t>
      </w:r>
    </w:p>
    <w:p>
      <w:r>
        <w:t>C/14964/2025 2 novembre 2012 consid. 4.2, publié in SJ 2013 I p. 286; 5C_127/2001 du 26 octobre 2001 consid. 2a; 4C_227/2003 du 9 décembre 2004 consid. 2.2.1).</w:t>
      </w:r>
    </w:p>
    <w:p>
      <w:r>
        <w:rPr>
          <w:b/>
        </w:rPr>
        <w:t>E. 4.2</w:t>
      </w:r>
    </w:p>
    <w:p>
      <w:r>
        <w:t>En l’espèce, il est constant qu’un contrat de prêt a été conclu par les parties le 1er août 2022 et que la somme de 300'000 EUR a été versée au recourant. Ce contrat vaut reconnaissance de dette.</w:t>
      </w:r>
    </w:p>
    <w:p>
      <w:r>
        <w:t>Le recourant soutient que ce contrat serait simulé et que les parties auraient eu la réelle intention, en concluant le contrat litigieux, qu’il touche une rémunération et perçoive des commissions selon contrat oral conclu avec B______ (SUISSE) SA. Le recourant allègue que l’intimée ferait partie du « Groupe B______ ». Les captures d’écran versées à la procédure, lesquelles ne sont pas datées, ne font toutefois pas état d’un tel groupe de sociétés. Par ailleurs, la page Linkedin de F______ produite ne permet pas non plus de retenir, même sous l’angle de la vraisemblance, que le précité serait le président ou l’acteur principal du « Groupe B______, » dite page mentionnant qu’il en a été le fondateur, sans autre précision quant à son implication actuelle. Aucun document ne rend vraisemblable un quelconque lien entre B______ SARL et d’autres sociétés. En tout état, ces faits ne sont pas déterminants pour l’issue du litige. Le recourant ne rend en effet pas vraisemblable la conclusion d’un contrat oral avec B______ (SUISSE) SA, étant relevé que le recourant requiert l’audition de plusieurs témoins pour attester de sa réalité. Le fichier excel relatif à une provision qu’aurait retenue B______ GROUP d’un montant de 150'000 fr. ne permet pas non plus de retenir l’existence d’un tel contrat, le nom du recourant n’y figurant pas. L’allégation selon laquelle F______ lui aurait proposé un « montage », soit la conclusion d’un contrat de prêt en vue de le rétribuer, n’est pas non plus rendue vraisemblable. Il résulte au contraire des échanges Whats’app intervenus entre les intéressés que le recourant entendait proposer à F______ d’investir dans une société, ce qui n’a pas emporté l’intérêt du précité. Il est d’ailleurs fait état d’un prêt à la holding du recourant, dont la Cour ignore tout. Le recourant n’a pas fourni d’explication quant au fait qu’il prétend qu’une rémunération totale de 300'000 fr. lui serait due, alors que le contrat de prêt porte sur 300'000 EUR, représentant, au taux de change en 2022 (de 0,914), 274'260 fr.</w:t>
      </w:r>
    </w:p>
    <w:p>
      <w:r>
        <w:t>Par ailleurs, le contrat de prêt précise que la remise de la somme de 300'000 EUR avait pour objectif de couvrir les besoins financiers à court terme de l’emprunteur, soit du recourant.</w:t>
      </w:r>
    </w:p>
    <w:p>
      <w:r>
        <w:t>Par conséquent, le recourant n’a pas rendu vraisemblable que le contrat de prêt aurait été simulé.</w:t>
      </w:r>
    </w:p>
    <w:p>
      <w:r>
        <w:t>- 11/13 -</w:t>
      </w:r>
    </w:p>
    <w:p>
      <w:r>
        <w:t>C/14964/2025</w:t>
      </w:r>
    </w:p>
    <w:p>
      <w:r>
        <w:rPr>
          <w:b/>
        </w:rPr>
        <w:t>E. 4.3</w:t>
      </w:r>
    </w:p>
    <w:p>
      <w:r>
        <w:t>Le recourant soutient encore que le prêt ne serait pas exigible, en raison de la possibilité discrétionnaire de l’emprunteur de prolonger la date d’échéance du prêt. Cette argumentation frise la témérité. Outre que le recourant n’apporte aucun élément permettant de rendre vraisemblable la prolongation de l’échéance du prêt, cette allégation est contredite par le courrier de l’intimée du 18 novembre 2024 et la mise en demeure du 30 janvier 2025. Il importe par ailleurs peu que l’intimée n’ait pas adressé de décompte d’intérêts au recourant quinze jours avant l’échéance du prêt, un tel décompte n’ayant pas d’effet sur l’exigibilité du prêt, les parties étant pour le surplus convenues de ce qu’en l’absence d’un tel décompte, les intérêts demeuraient dus. Le recourant n’a dès lors rendu vraisemblable aucun moyen libératoire. C’est donc à bon droit que le Tribunal a prononcé la mainlevée provisoire de l’opposition formée par le recourant au commandement de payer en cause.</w:t>
      </w:r>
    </w:p>
    <w:p>
      <w:r>
        <w:rPr>
          <w:b/>
        </w:rPr>
        <w:t>E. 4.4</w:t>
      </w:r>
    </w:p>
    <w:p>
      <w:r>
        <w:t>Entièrement infondé, le recours sera rejeté.</w:t>
      </w:r>
    </w:p>
    <w:p>
      <w:r>
        <w:rPr>
          <w:b/>
        </w:rPr>
        <w:t>E. 5</w:t>
      </w:r>
    </w:p>
    <w:p>
      <w:r>
        <w:t>Les frais de la procédure de recours seront arrêtés à 1’625 fr., comprenant la décision sur effet suspensif et les conclusions en suspension, et mis à la charge du recourant, qui succombe intégralement (art. 106 al. 3 CPC). Ces frais seront compensés avec l’avance de frais de 1'325 fr. fournie, acquise à l’Etat de Genève. Le recourant sera dès lors condamné à verser 300 fr. à l’Etat de Genève, soit pour lui les Services financiers du Pouvoir judiciaire (art. 111 al. 1 CPC). Le recourant sera également condamné à verser à l’intimée la somme de 2’000 fr., débours et TVA inclus, à titre de dépens de recours (art. 106 al. 1 CPC; art. 84, 85, 89, 90 RTFMC; art. 23, 25 et 26 LaCC). * * * * *</w:t>
      </w:r>
    </w:p>
    <w:p>
      <w:r>
        <w:t>- 12/13 -</w:t>
      </w:r>
    </w:p>
    <w:p>
      <w:r>
        <w:t>C/14964/2025 PAR CES MOTIFS, La Chambre civile :</w:t>
      </w:r>
    </w:p>
    <w:p>
      <w:r>
        <w:t>A la forme : Déclare recevable le recours interjeté le 24 novembre 2025 par A______ contre le jugement JTPI/15160/2025 rendu le 12 novembre 2025 par le Tribunal de première instance dans la cause C/14964/2025–2 SML. Au fond : Le rejette. Déboute les parties de toutes autres conclusions. Sur les frais : Arrête les frais judiciaires du recours à 1'625 fr., partiellement compensés avec l’avance de frais fournie, acquise à l’Etat de Genève. Les met à la charge de A______. Condamne A______ à verser 300 fr. à l’Etat de Genève, soit pour lui les Services financiers du Pouvoir judiciaire. Condamne A______ à verser 2'000 fr. à B______/C______ SARL 2'000 fr. à titre de dépens de recours. Siégeant : Madame Pauline ERARD, présidente; Madame Sylvie DROIN, Madame Nathalie LANDRY, juges; Madame Mélanie DE RESENDE PEREIRA, greffière.</w:t>
      </w:r>
    </w:p>
    <w:p>
      <w:r>
        <w:t>La présidente : Pauline ERARD</w:t>
      </w:r>
    </w:p>
    <w:p>
      <w:r>
        <w:t>La greffière : Mélanie DE RESENDE PEREIRA</w:t>
      </w:r>
    </w:p>
    <w:p>
      <w:r>
        <w:t>- 13/13 -</w:t>
      </w:r>
    </w:p>
    <w:p>
      <w:r>
        <w:t>C/14964/2025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