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ACJC/423/2025 vom 4. April 2025</w:t>
      </w:r>
    </w:p>
    <w:p>
      <w:r>
        <w:t>GE Cour de justice, 2025-04-04, FR</w:t>
      </w:r>
    </w:p>
    <w:p>
      <w:r>
        <w:rPr>
          <w:b/>
        </w:rPr>
        <w:t xml:space="preserve">Quelle: </w:t>
      </w:r>
      <w:r>
        <w:t>https://mcp.opencaselaw.ch/entscheid/ge_gerichte_ACJC_423_2025</w:t>
      </w:r>
    </w:p>
    <w:p>
      <w:r>
        <w:t>FR: GE_GERICHTE ACJC/423/2025 du 4 avril 2025</w:t>
      </w:r>
    </w:p>
    <w:p>
      <w:r>
        <w:t>IT: GE_GERICHTE ACJC/423/2025 del 4 aprile 2025</w:t>
      </w:r>
    </w:p>
    <w:p>
      <w:pPr>
        <w:pStyle w:val="Heading2"/>
      </w:pPr>
      <w:r>
        <w:t>Erwägungen</w:t>
      </w:r>
    </w:p>
    <w:p>
      <w:r>
        <w:rPr>
          <w:b/>
        </w:rPr>
        <w:t>E. 1.1</w:t>
      </w:r>
    </w:p>
    <w:p>
      <w:r>
        <w:t>L'appel est recevable pour avoir été interjeté auprès de l'autorité compétente (art. 120 al. 1 let. a LOJ), dans le délai utile de trente jours (art. 142 al. 1 et 3, 143 al. 1, 145 al. 1 let. b et 311 al. 1 CPC), et selon la forme prescrite par la loi (art. 130, 131 et 311 CPC), à l'encontre d'une décision finale de première instance rendue dans une cause dont la valeur litigieuse est supérieure à 10'000 fr. (art. 308 al. 2 CPC). 1.2.1 Il incombe au recourant de motiver son appel (art. 311 al. 1 CPC), c'est-à- 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 comprendre aisément, ce qui suppose une désignation précise des passages de la décision que le recourant attaque et des pièces du dossier sur lesquelles repose sa critique (ATF 141 III 569 consid. 2.3.3; 138 III 374 consid. 4.3.1). Lorsque l'appel est insuffisamment motivé, l'autorité n'entre pas en matière (arrêts du Tribunal fédéral 5A_247/2013 du 15 octobre 2013 consid. 3.1; 4A_651/2012 du 7 février 2013 consid. 4.2). L'appel doit être entièrement motivé dans le délai d'appel (arrêts du Tribunal fédéral 4A_303/2018 du 17 octobre 2018 consid. 3.4.2; 5A_979/2014 du</w:t>
      </w:r>
    </w:p>
    <w:p>
      <w:r>
        <w:t>- 8/16 -</w:t>
      </w:r>
    </w:p>
    <w:p>
      <w:r>
        <w:t>C/14872/2022 12 février 2015 consid. 2.4; 4A_487/2014 du 28 octobre 2014 consid. 1.2.4). Le droit de réplique ne permet pas de présenter des nova ni de compléter l'acte d'appel. L'exercice du droit de réplique ne saurait en effet servir à apporter audit acte des éléments qui auraient pu l'être pendant le délai légal (ATF 142 III 413 consid. 2.2.4 et les références; arrêts du Tribunal fédéral 5A_160/2023 du 5 juillet 2023 consid. 3.3; 5A_673/2021 du 21 décembre 2021 consid. 3.2).</w:t>
      </w:r>
    </w:p>
    <w:p>
      <w:r>
        <w:t>1.2.2 En l'espèce, il sera considéré que l'appel est, dans son ensemble, suffisamment motivé (bien que très sommairement) contrairement à ce que soutient l'intimé, qui a d'ailleurs été en mesure de répondre aux griefs de l'appelante.</w:t>
      </w:r>
    </w:p>
    <w:p>
      <w:r>
        <w:t>La réplique ne pouvant toutefois servir à compléter l'appel, celle de l'appelante, qui est plus longue que l'appel lui-même, n'est dès lors recevable qu'en tant qu'elle contient des déterminations sur la réponse de l'intimé. Elle ne l'est en revanche pas en tant qu'elle comporte une nouvelle argumentation, complétant celle figurant dans l'appel.</w:t>
      </w:r>
    </w:p>
    <w:p>
      <w:r>
        <w:rPr>
          <w:b/>
        </w:rPr>
        <w:t>E. 1.3</w:t>
      </w:r>
    </w:p>
    <w:p>
      <w:r>
        <w:t>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(art. 157 CPC en relation avec l'art. 310 let. b CPC) et vérifie si celui-ci pouvait admettre les faits qu'il a retenus (ATF 138 III 374 consid. 4.3.1). L'état de fait présenté ci-dessus a été modifié et complété dans la mesure utile sur la base des actes et des pièces de la procédure, de sorte que le grief de l'appelante sur ce point ne sera pas traité plus avant.</w:t>
      </w:r>
    </w:p>
    <w:p>
      <w:r>
        <w:rPr>
          <w:b/>
        </w:rPr>
        <w:t>E. 1.4</w:t>
      </w:r>
    </w:p>
    <w:p>
      <w:r>
        <w:t>La maxime des débats s'applique à la procédure concernant le régime matrimonial (art. 277 al. 1 et 55 al. 1 CPC), ainsi que le principe de disposition (art. 58 al. 1 CPC; arrêt du Tribunal fédéral 5A_728/2020 du 12 janvier 2022 consid. 3.1). Le juge établit les faits d'office pour toutes les questions qui touchent à la prévoyance professionnelle (art. 277 al. 3 CPC), étant néanmoins précisé que la maxime d'office et la maxime inquisitoire ne s'imposent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 et les références citées).</w:t>
      </w:r>
    </w:p>
    <w:p>
      <w:r>
        <w:t>- 9/16 -</w:t>
      </w:r>
    </w:p>
    <w:p>
      <w:r>
        <w:t>C/14872/2022</w:t>
      </w:r>
    </w:p>
    <w:p>
      <w:r>
        <w:rPr>
          <w:b/>
        </w:rPr>
        <w:t>E. 2</w:t>
      </w:r>
    </w:p>
    <w:p>
      <w:r>
        <w:t>L'intimé fait valoir l'irrecevabilité des conclusions prises par l'appelante en lien avec les machines à coudre.</w:t>
      </w:r>
    </w:p>
    <w:p>
      <w:r>
        <w:rPr>
          <w:b/>
        </w:rPr>
        <w:t>E. 2.1</w:t>
      </w:r>
    </w:p>
    <w:p>
      <w:r>
        <w:t>L'admissibilité d'une modification des conclusions est une condition de recevabilité au sens de l'art. 59 CPC, qui est examinée d'office (art. 60 CPC; arrêt du Tribunal fédéral 4A_395/2017 du 11 octobre 2018 consid. 4.3).</w:t>
      </w:r>
    </w:p>
    <w:p>
      <w:r>
        <w:rPr>
          <w:b/>
        </w:rPr>
        <w:t>E. 2.1.1</w:t>
      </w:r>
    </w:p>
    <w:p>
      <w:r>
        <w:t>Tout changement de conclusions (objet de la demande au sens étroit) constitue de facto une modification de la demande, qu'il s'agisse d'une amplification, d'un chiffrage nouveau, d'un changement de nature, d'une réduction ou d'un abandon (SCHWEIZER, Commentaire romand, Code de procédure civile, 2019, n. 14 ad art. 227 CPC). Les conclusions doivent être interprétées à la lumière de la motivation et une simple précision doit être distinguée d'une modification de la demande au sens de l'art. 227 al. 1 ou 317 al. 2 CPC (arrêt du Tribunal fédéral 5A_377/2016 du 9 janvier 2017 consid. 4.2.3 et les arrêts cités). Le juge doit donc rechercher le sens des déclarations de volonté unilatérales du demandeur telles qu'elles pouvaient être comprises de bonne foi en fonction de la motivation de la demande, des circonstances du cas à trancher et de la nature juridique de l'action introduite (arrêts du Tribunal fédéral 5A_775/2018 du 15 avril 2019 consid. 4.1; 5A_377/2016 précité, ibidem). Le but de la modification de la demande est d'adapter la demande à l'évolution des circonstances et des besoins, et non pas de rattraper ce qui a été manqué (arrêt du Tribunal fédéral 5A_793/2014 du 18 mai 2015 consid. 3.2.6).</w:t>
      </w:r>
    </w:p>
    <w:p>
      <w:r>
        <w:rPr>
          <w:b/>
        </w:rPr>
        <w:t>E. 2.1.2</w:t>
      </w:r>
    </w:p>
    <w:p>
      <w:r>
        <w:t>Avant l'ouverture des débats principaux, l'art. 227 al. 1 CPC prévoit que la demande peut être modifiée devant le tribunal si la prétention nouvelle ou modifiée relève de la même procédure et que l'une des conditions suivantes est remplie :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 elle doit reposer sur des faits ou des moyens de preuve nouveaux (art. 230 al. 1 let. b CPC).</w:t>
      </w:r>
    </w:p>
    <w:p>
      <w:r>
        <w:rPr>
          <w:b/>
        </w:rPr>
        <w:t>E. 2.1.3</w:t>
      </w:r>
    </w:p>
    <w:p>
      <w:r>
        <w:t>Selon l'art. 317 al. 2 CPC, la demande ne peut être modifiée en procédure d'appel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t>- 10/16 -</w:t>
      </w:r>
    </w:p>
    <w:p>
      <w:r>
        <w:t>C/14872/2022</w:t>
      </w:r>
    </w:p>
    <w:p>
      <w:r>
        <w:rPr>
          <w:b/>
        </w:rPr>
        <w:t>E. 2.1.4</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(ATF 123 III 60 consid. 3a; arrêt du Tribunal fédéral 4A_11/2018 du 8 octobre 2018 consid. 5.1).</w:t>
      </w:r>
    </w:p>
    <w:p>
      <w:r>
        <w:rPr>
          <w:b/>
        </w:rPr>
        <w:t>E. 2.2</w:t>
      </w:r>
    </w:p>
    <w:p>
      <w:r>
        <w:t>En l'espèce, l'appelante a, devant le premier juge, conclu à ce que l'intimé lui restitue deux machines à coudre de marque O______, conclusion qu'elle a motivée dans le cadre d'un raisonnement distinct de celui de la liquidation du régime matrimonial. En appel, l'appelante ne conclut plus à la restitution des deux machines à coudre mais au versement d'un montant global de 38'400 fr. à titre de liquidation du régime matrimonial, lequel inclut 900 fr. correspondant à la moitié de la valeur estimée des deux machines à coudre.</w:t>
      </w:r>
    </w:p>
    <w:p>
      <w:r>
        <w:t>L'appelante ne saurait être suivie lorsqu'elle fait valoir avoir procédé à une restriction de ses conclusions, soit à un retrait partiel de celles-ci, dans la mesure où le montant dont le paiement est réclamé en appel à titre de liquidation du régime matrimonial est inférieur à celui de première instance (38'400 fr. / 85'000 fr.). La nature de sa prétention ayant été modifiée (restitution en nature / paiement de sa valeur), cette nouvelle conclusion d'appel doit répondre aux exigences l'art. 317 al. 2 CPC. Or, la modification ne repose sur aucun fait nouveau. En effet, l'appelante a connu la position de l'intimé à ce sujet, soit qu'il n'avait pas en sa possession les machines à coudre en question, avant la clôture de la phase d'allégation de première instance. En fondant sa modification sur la décision du premier juge, qui a considéré qu'elle n'avait pas établi que ces objets étaient toujours en mains de l'intimé, l'appelante tente de rattraper ses manquements, ce qui ne saurait être admis. La modification de sa conclusion est donc irrecevable.</w:t>
      </w:r>
    </w:p>
    <w:p>
      <w:r>
        <w:t>En tout état, il appartenait à l'appelante d'alléguer et de prouver les faits pertinents sur lesquels elle fonde sa prétention. Le seul fait d'affirmer qu'elle possédait deux machines à coudre de marque O______, sans fournir de détail quant au modèle notamment, ni de document (comme une facture par exemple) prouvant qu'elle avait bien possédé ces objets, ne suffit pas. L'on ne saurait dès lors retenir sur la base d'une simple allégation, contestée pour le surplus, que deux machines à coudre O______ d'une valeur estimée à 1'800 fr., propriété de l'appelante, seraient en possession de l'intimé.</w:t>
      </w:r>
    </w:p>
    <w:p>
      <w:r>
        <w:t>- 11/16 -</w:t>
      </w:r>
    </w:p>
    <w:p>
      <w:r>
        <w:t>C/14872/2022</w:t>
      </w:r>
    </w:p>
    <w:p>
      <w:r>
        <w:rPr>
          <w:b/>
        </w:rPr>
        <w:t>E. 3</w:t>
      </w:r>
    </w:p>
    <w:p>
      <w:r>
        <w:t>L'appelante reproche au Tribunal de ne pas avoir réuni aux acquêts le montant résultant de la vente par l'intimé du kiosque dont il était propriétaire.</w:t>
      </w:r>
    </w:p>
    <w:p>
      <w:r>
        <w:rPr>
          <w:b/>
        </w:rPr>
        <w:t>E. 3.1</w:t>
      </w:r>
    </w:p>
    <w:p>
      <w:r>
        <w:t>Il est acquis que les parties, qui n'ont pas conclu de contrat de mariage, étaient soumises au régime légal de la participation aux acquêts (art. 181 CC).</w:t>
      </w:r>
    </w:p>
    <w:p>
      <w:r>
        <w:rPr>
          <w:b/>
        </w:rPr>
        <w:t>E. 3.1.1</w:t>
      </w:r>
    </w:p>
    <w:p>
      <w:r>
        <w:t>Le régime matrimonial de la participation aux acquêts comprend les acquêts et les biens propres de chaque époux (art. 196 CC). Sont des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Tout bien d'un époux est présumé acquêt, sauf preuve du contraire (art. 200 al. 3 CC). Chaque époux a l'administration, la jouissance et la disposition de ses acquêts et de ses biens propres dans les limites de la loi (art. 201 al. 1 CC). L'époux propriétaire n'a pas d'obligation de conserver la substance de ses biens (ATF 118 II 27 consid. 4b in JdT 1994 I p. 535 ss; arrêt du Tribunal fédéral 5A_714/2009 du 16 décembre 2009 consid. 4.4).</w:t>
      </w:r>
    </w:p>
    <w:p>
      <w:r>
        <w:rPr>
          <w:b/>
        </w:rPr>
        <w:t>E. 3.1.2</w:t>
      </w:r>
    </w:p>
    <w:p>
      <w:r>
        <w:t>À la liquidation, chaque époux a droit à la moitié du bénéfice de l'autre et les créances sont compensées (art. 215 al. 1 et 2 CC). Pour déterminer le bénéfice de chaque époux (art. 210 CC), les acquêts et les biens propres de chaque époux sont disjoints dans leur composition au jour de la dissolution du régime (art. 207 al. 1 CC). La composition des actifs et passifs des comptes d'acquêts est définitivement arrêtée à cette date (ATF 123 III 289 ; arrêt du Tribunal fédéral 5A_222/2010 du 30 juin 2010 consid. 6.3.1). Dans deux cas toutefois, des biens d'acquêts qui n'existaient plus à ce moment-là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arrêt du Tribunal fédéral 5A_339/2015 du 18 novembre 2015 consid. 8.3 résumé in Droitmatrimonial.ch). Le but de cette disposition est de protéger l'expectative de chacun des époux en ce qui concerne sa participation au bénéfice de l'autre. Par libéralité au sens du chiffre 1 de l'art. 208 al. 1 CC, il faut comprendre une attribution volontaire partiellement ou entièrement gratuite à un tiers qui a provoqué une diminution des</w:t>
      </w:r>
    </w:p>
    <w:p>
      <w:r>
        <w:t>- 12/16 -</w:t>
      </w:r>
    </w:p>
    <w:p>
      <w:r>
        <w:t>C/14872/2022 acquêts ou a empêché leur accroissement (ATF 138 III 689 consid. 3.2 s.; arrêt du Tribunal fédéral 5A_339/2015 précité, ibidem). Le chiffre 2 vise, quant à lui, tous les actes juridiques par lesquels, durant le régime, un époux dispose d'un acquêt et diminue ainsi la valeur de cette masse. Il peut s'agir de libéralités au sens du chiffre 1 mais également d'actes à titre onéreux désavantageux de nature à compromettre la participation du conjoint, d'actes de déréliction ou, simplement, d'actes matériels entraînant une diminution de valeur du bien, à l'exception de l'usage personnel (ATF 118 II 27 consid. 4; arrêt du Tribunal fédéral 5A_339/2015 précité, ibidem). Pour maintenir un sens à l'art. 208 al. 1 ch. 1 CC, il faut que l'intention de l'art. 208 al. 1 ch. 2 CC soit une intention caractérisée, et non la simple conscience qu'en réduisant la valeur des acquêts, la part du conjoint au bénéfice sera réduite (DESCHENAUX/STEINAUER/BADDELEY, Les effets du mariage, 2017, n. 1332 p. 756).</w:t>
      </w:r>
    </w:p>
    <w:p>
      <w:r>
        <w:rPr>
          <w:b/>
        </w:rPr>
        <w:t>E. 3.1.3</w:t>
      </w:r>
    </w:p>
    <w:p>
      <w:r>
        <w:t>En vertu de l'art. 8 CC, l'époux qui réclame la réunion aux acquêts selon l'art. 208 CC doit prouver que les conditions permettant une telle opération sont remplies. Il ne suffit pas d'établir qu'un acquêt a existé à une certaine époque et d'exiger que l'autre partie fasse la preuve que les circonstances prévues par l'art. 208 CC ne sont pas réalisées (ATF 118 II 27 précité consid. 2 et 3b; arrêts du Tribunal fédéral 5A_667/2019 du 7 avril 2020 consid. 4.1.2 et 5A_339/2015 précité, ibidem).</w:t>
      </w:r>
    </w:p>
    <w:p>
      <w:r>
        <w:rPr>
          <w:b/>
        </w:rPr>
        <w:t>E. 3.2</w:t>
      </w:r>
    </w:p>
    <w:p>
      <w:r>
        <w:t>En l'espèce, l'appelante ne saurait être suivie lorsqu'elle fait valoir que le Tribunal aurait dû retenir une intention de l'ex-époux de compromettre sa participation au bénéfice dès lors qu'elle aurait suffisamment prouvé qu'elle avait été victime de violences conjugales (physique, psychique et économique) durant le mariage. En effet, si l'on peut admettre, au vu des pièces produites, que le mariage a été marqué par un conflit conjugal d'une certaine intensité (les deux parties s'accusant mutuellement de violences physiques et psychiques), il n'est en revanche pas établi que l'intimé aurait restreint l'autonomie financière de l'appelante durant le mariage. Le fait qu'elle ait été en mesure de produire des pièces concernant son ex-époux dans le cadre de la présente procédure corrobore la version présentée par l'intimé à ce sujet, soit qu'elle avait accès à la documentation les concernant et qu'elle était renseignée sur les finances de la famille, y compris sur le sort du kiosque. Elle a d'ailleurs été en mesure d'indiquer le nom de l'acheteur (bien que mal orthographié). Les allégations de l'appelante, à teneur desquelles elle n'aurait pas été informée de l'utilisation des fonds résultant de la vente, sont par ailleurs contestées par l'intimé, qui a fourni des explications à ce sujet, bien que non prouvées par titre. L'appelante ne se prévaut, pour le surplus, d'aucun autre élément qui permettrait de retenir que l'intéressé aurait vendu le kiosque, plus de treize ans avant la séparation, dans l'intention caractérisée de compromettre sa</w:t>
      </w:r>
    </w:p>
    <w:p>
      <w:r>
        <w:t>- 13/16 -</w:t>
      </w:r>
    </w:p>
    <w:p>
      <w:r>
        <w:t>C/14872/2022 participation au bénéfice de l'union conjugale. Or, il lui appartenait de prouver que les conditions permettant une réunion aux acquêts selon l'art. 208 al. 1 ch. 2 CC étaient remplies. Le jugement entrepris sera par conséquent confirmé sur ce point. L'appelante ne formulant aucune autre critique – recevable – à l'égard de la liquidation du régime matrimonial tel qu'opérée par le Tribunal, le chiffre 3 du dispositif du jugement entrepris sera confirmé.</w:t>
      </w:r>
    </w:p>
    <w:p>
      <w:r>
        <w:rPr>
          <w:b/>
        </w:rPr>
        <w:t>E. 4</w:t>
      </w:r>
    </w:p>
    <w:p>
      <w:r>
        <w:t>L'appelante reproche au Tribunal d'avoir renoncé au partage de la rente de vieillesse perçue par l'intimé. 4.1.1 Selon l'art. 122 CC, les prétentions de prévoyance professionnelle acquises durant le mariage et jusqu'à l'introduction de la procédure de divorce sont partagées entre les époux. 4.1.2 Si, au moment de l’introduction de la procédure de divorce, l’un des époux perçoit une rente d’invalidité alors qu’il a déjà atteint l’âge de référence réglementaire ou perçoit une rente de vieillesse, le juge apprécie les modalités du partage. Il tient compte en particulier de la durée du mariage et des besoins de prévoyance de chacun des époux (art. 124a al. 1 CC). L'art. 124a CC règle les situations dans lesquelles, au moment de l'introduction de la procédure de divorce, l'un des époux perçoit une rente d'invalidité alors qu'il a déjà atteint l'âge réglementaire de la retraite ou perçoit une rente de vieillesse. Dans ces situations, il n'est plus possible de calculer une prestation de sortie, de sorte que le partage devra s'effectuer sous la forme du partage de la rente (ATF 145 III 56 consid. 5.1). L'énumération des circonstances que le juge doit prendre en considération lorsqu'il prend une telle décision fondée sur son pouvoir d'appréciation n'est pas exhaustive (FF 2013 4365 ad art. 124a CC ; ATF 145 III 56 consid. 5.1). Entrent notamment en ligne de compte les circonstances justifiant l'attribution de moins ou de plus de la moitié de la prestation de sortie (art. 124b CC; FF 2013 4365 ad art. 124a CC et 4370 ad art. 124b CC). Si l'art. 124b CC ne s'applique pas directement aux cas de partage d'une rente, mais vise uniquement les cas de partage des prestations de sortie, le juge peut toutefois s'inspirer des principes ressortant de cette disposition dans le cadre de l'exercice du pouvoir d'appréciation que lui confère l'art. 124a CC (ATF 145 III 56 consid. 5.1 et les références citées). 4.1.3 Selon l'article 124b al. 2 CC, le juge attribue moins de la moitié de la prestation de sortie au conjoint créancier ou n’en attribue aucune pour de justes motifs. C’est le cas en particulier lorsque le partage par moitié s’avère inéquitable</w:t>
      </w:r>
    </w:p>
    <w:p>
      <w:r>
        <w:t>- 14/16 -</w:t>
      </w:r>
    </w:p>
    <w:p>
      <w:r>
        <w:t>C/14872/2022 en raison : de la liquidation du régime matrimonial ou de la situation économique des époux après le divorce (ch. 1) ; des besoins de prévoyance de chacun des époux, compte tenu notamment de leur différence d’âge (ch. 2). Cette disposition doit être appliquée de manière restrictive, afin d'éviter que le principe du partage par moitié des avoirs de prévoyance soit vidé de son contenu.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 du Tribunal fédéral 5A_483/2023 du 29 octobre 2024 consid. 4.2).</w:t>
      </w:r>
    </w:p>
    <w:p>
      <w:r>
        <w:rPr>
          <w:b/>
        </w:rPr>
        <w:t>E. 4.2</w:t>
      </w:r>
    </w:p>
    <w:p>
      <w:r>
        <w:t>En l'espèce, l'appelante conteste l'appréciation en équité faite par le Tribunal, se contentant de soutenir que dans la mesure où elle a été victime de violences physiques, psychiques et économiques durant le mariage, une renonciation à un partage de la rente perçue par l'intimé constituerait une injustice supplémentaire à son égard. Elle ne fournit pas davantage d'explication à l'appui de son appel. Pour autant que son grief soit suffisamment motivé, il doit être rejeté dans la mesure où ses allégations ne sont pas établies. En effet, s'il résulte du dossier que des différends ont émaillé les relations entre les parties et que le conflit conjugal a conduit l'appelante à mettre en place un suivi psychologique, rien n'indique que l'intimé serait seul responsable de la désunion et des fortes dissensions conjugales opposant les parties, chacune accusant l'autre de violence. Il n'est pas non plus établi que l'intimé aurait privé l'appelante de son indépendance financière, de sa sécurité matérielle ou encore de sa capacité à prendre des décisions économiques pour elle-même. Une renonciation au partage de la rente LPP de l'intimé n'apparaît dès lors pas inéquitable sous cet angle. Pour le surplus, le Tribunal a correctement apprécié les circonstances d'espèce, en tenant compte des besoins de prévoyance de chacun des époux, relevant le faible montant que représente la rente LPP perçue par l'intimé (qui ne lui permet pas de couvrir ses charges) et le fait que, contrairement à ce dernier, l'appelante, qui exerce une activité professionnelle, dispose d'une dizaine d'années pour se constituer une prévoyance professionnelle.</w:t>
      </w:r>
    </w:p>
    <w:p>
      <w:r>
        <w:t>Le jugement entrepris sera par conséquent confirmé sur ce point et dans son intégralité.</w:t>
      </w:r>
    </w:p>
    <w:p>
      <w:r>
        <w:t>- 15/16 -</w:t>
      </w:r>
    </w:p>
    <w:p>
      <w:r>
        <w:t>C/14872/2022</w:t>
      </w:r>
    </w:p>
    <w:p>
      <w:r>
        <w:rPr>
          <w:b/>
        </w:rPr>
        <w:t>E. 5</w:t>
      </w:r>
    </w:p>
    <w:p>
      <w:r>
        <w:t>Les frais judiciaires d'appel seront fixés à 1'000 fr. (art. 30 al. 1 et 35 RTFMC). Au vu de l'issue du litige, les frais judiciaires d'appel seront mis à la charge de l'appelante, qui succombe intégralement dans ses conclusions d'appel (art. 106 al. 1 et 2 CPC). L'appelante plaidant au bénéfice de l'assistance judiciaire, sa part sera provisoirement laissée à la charge de l'Etat de Genève, lequel pourra en réclamer le remboursement ultérieurement si les conditions de l'art. 123 CPC sont remplies (art. 122 al. 1 let. b; art. 19 RAJ). L'appelante ayant entièrement succombé, il se justifie également de mettre à sa charge des dépens, à hauteur de 1'000 fr. en faveur de l'intimé. * * * * *</w:t>
      </w:r>
    </w:p>
    <w:p>
      <w:r>
        <w:t>- 16/16 -</w:t>
      </w:r>
    </w:p>
    <w:p>
      <w:r>
        <w:t>C/14872/2022 PAR CES MOTIFS, La Chambre civile :</w:t>
      </w:r>
    </w:p>
    <w:p>
      <w:r>
        <w:t>A la forme : Déclare recevable l'appel interjeté le 16 septembre 2024 par A______ contre le jugement JTPI/9179/2024 rendu le 25 juillet 2024 par le Tribunal de première instance dans la cause C/14872/2022. Au fond : Confirme le jugement entrepris. Déboute les parties de toutes autres conclusions. Sur les frais : Arrête les frais judiciaires d'appel à 1'000 fr., les met à la charge de A______ et les laisse provisoirement à la charge de l'Etat de Genève. Condamne A______ à verser à D______ la somme de 1'000 fr. à titre de dépens d'appel. Siégeant : Monsieur Cédric-Laurent MICHEL, président; Madame Pauline ERARD, Madame Paola CAMPOMAGNANI,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