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ACJC/422/2013 vom 25. Februar 2013</w:t>
      </w:r>
    </w:p>
    <w:p>
      <w:r>
        <w:t>GE Cour de justice, 2013-02-25, FR</w:t>
      </w:r>
    </w:p>
    <w:p>
      <w:r>
        <w:rPr>
          <w:b/>
        </w:rPr>
        <w:t xml:space="preserve">Quelle: </w:t>
      </w:r>
      <w:r>
        <w:t>https://mcp.opencaselaw.ch/entscheid/ge_gerichte_ACJC_422_2013</w:t>
      </w:r>
    </w:p>
    <w:p>
      <w:r>
        <w:t>FR: GE_GERICHTE ACJC/422/2013 du 25 février 2013</w:t>
      </w:r>
    </w:p>
    <w:p>
      <w:r>
        <w:t>IT: GE_GERICHTE ACJC/422/2013 del 25 febbraio 2013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février 2013, le délai de recours de dix jours ayant commencé à courir le lendemain</w:t>
      </w:r>
    </w:p>
    <w:p>
      <w:r>
        <w:rPr>
          <w:b/>
        </w:rPr>
        <w:t>E. 28</w:t>
      </w:r>
    </w:p>
    <w:p>
      <w:r>
        <w:t>février et le recours ayant été formé le lundi 11 mars 2013; Que l'éventuelle action en libération de dette devant être introduite devant un tribunal arbitral, ce que l'intimé ne conteste pas, l'économie de procédure justifie de donner une suite favorable à la requête d'effet suspensif, l'intimée ne faisant par ailleurs pas valoir</w:t>
      </w:r>
    </w:p>
    <w:p>
      <w:r>
        <w:t>- 3/3 -</w:t>
      </w:r>
    </w:p>
    <w:p>
      <w:r>
        <w:t>C/24521/2012 qu'une saisie provisoire immédiate serait nécessaire, le recourant projetant de céler ses biens pendant la procédure d'appel.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