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ACJC/420/2014 vom 25. April 2013</w:t>
      </w:r>
    </w:p>
    <w:p>
      <w:r>
        <w:t>GE Cour de justice, 2013-04-25, FR</w:t>
      </w:r>
    </w:p>
    <w:p>
      <w:r>
        <w:rPr>
          <w:b/>
        </w:rPr>
        <w:t xml:space="preserve">Quelle: </w:t>
      </w:r>
      <w:r>
        <w:t>https://mcp.opencaselaw.ch/entscheid/ge_gerichte_ACJC_420_2014</w:t>
      </w:r>
    </w:p>
    <w:p>
      <w:r>
        <w:t>FR: GE_GERICHTE ACJC/420/2014 du 25 avril 2013</w:t>
      </w:r>
    </w:p>
    <w:p>
      <w:r>
        <w:t>IT: GE_GERICHTE ACJC/420/2014 del 25 aprile 2013</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- 5/9 -</w:t>
      </w:r>
    </w:p>
    <w:p>
      <w:r>
        <w:t>C/4252/2011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4A_367/2010 du 4 octobre 2010 consid. 1.1; 4A_127/2008 du 2 juin 2008 consid. 1.1; 4A_516/2007 du 6 mars 2008 consid. 1.1; ATF 136 III 196 consid. 1.1). Quant au dies a quo, il court dès la fin de la procédure judiciaire. Dès lors que la valeur litigieuse doit être déter- minable lors du dépôt du recours, il convient de se référer à la date de la décision cantonale (arrêts du Tribunal fédéral 4A_187/2011 du 9 juin 2011 et 4A_189/2011 du 4 juillet 2011).</w:t>
      </w:r>
    </w:p>
    <w:p>
      <w:r>
        <w:rPr>
          <w:b/>
        </w:rPr>
        <w:t>E. 1.2</w:t>
      </w:r>
    </w:p>
    <w:p>
      <w:r>
        <w:t>En l'espèce, le loyer annuel du local s'élève à 9'000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L'appelant soutient principalement que le congé serait nul, s'agissant selon lui d'un congé partiel, donné pour un seul des deux locaux qu'il loue de la bailleresse, alors qu'il considère ceux-ci comme liés, du fait de leur interdépendance. Cependant, il conclut à l'annulation et à la mise à néant de la résiliation et non à la constatation de sa nullité.</w:t>
      </w:r>
    </w:p>
    <w:p>
      <w:r>
        <w:t>- 6/9 -</w:t>
      </w:r>
    </w:p>
    <w:p>
      <w:r>
        <w:t>C/4252/2011</w:t>
      </w:r>
    </w:p>
    <w:p>
      <w:r>
        <w:rPr>
          <w:b/>
        </w:rPr>
        <w:t>E. 2.1</w:t>
      </w:r>
    </w:p>
    <w:p>
      <w:r>
        <w:t>La nullité peut être invoquée en tout temps, sauf abus de droit, et doit être sou- levée d'office par le juge, à n'importe quel stade de la procédure, y compris lors de la procédure d'expulsion (LACHAT, Le bail à loyer, 2008, p. 727).</w:t>
      </w:r>
    </w:p>
    <w:p>
      <w:r>
        <w:rPr>
          <w:b/>
        </w:rPr>
        <w:t>E. 2.2</w:t>
      </w:r>
    </w:p>
    <w:p>
      <w:r>
        <w:t>Le critère essentiel pour déterminer si des baux sont ou non liés est celui de l'interdépendance entre ceux-ci. Peu importe à cet égard, notamment, que les baux n'aient pas été conclus simultanément (LACHAT, op. cit., p. 126; ATF 125 III 231 consid. 2). Cependant, si la volonté commune des parties est douteuse ou contro- versée, encore faut-il qu’il existe un rapport fonctionnel entre les deux objets (ATF 125 III 231 consid. 2). Un congé "partiel" n'est envisageable que lorsque les parties ont conclu entre elles plusieurs baux et ne les ont pas liés entre eux expressément ou implicitement (LACHAT, op. cit., p. 642). En présence d'un litige sur l'interprétation d'une disposition contractuelle, le juge doit tout d'abord s'efforcer de déterminer la commune et réelle intention des par- ties, sans s'arrêter aux expressions ou dénominations inexactes dont elles ont pu se servir, soit par erreur, soit pour déguiser la nature véritable de la convention (art. 18 al. 1 CO; ATF 135 III 410 consid. 3.2 p. 412 s). La recherche de la volon- té réelle des parties est qualifiée d'interprétation subjective (ATF 131 III 606 consid. 4.1 p. 611).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 fiance permet ainsi d'imputer à une partie le sens objectif de sa déclaration ou de son comportement, même s'il ne correspond pas à sa volonté intime (ATF 135 III 410 consid. 3.2 et ATF 133 III 675 consid. 3.3). L'interprétation subjective a la priorité sur l'interprétation objective (ATF 131 III 606 consid. 4.1 p. 611).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 dant pas lieu de s'écarter du sens littéral du texte adopté par les intéressés lorsqu'il n'existe aucune raison sérieuse de penser qu'il ne correspond pas à leur volonté (ATF 136 III 186 consid. 3.2.1 p. 188 et les arrêts cités).</w:t>
      </w:r>
    </w:p>
    <w:p>
      <w:r>
        <w:t>- 7/9 -</w:t>
      </w:r>
    </w:p>
    <w:p>
      <w:r>
        <w:t>C/4252/2011</w:t>
      </w:r>
    </w:p>
    <w:p>
      <w:r>
        <w:rPr>
          <w:b/>
        </w:rPr>
        <w:t>E. 2.3</w:t>
      </w:r>
    </w:p>
    <w:p>
      <w:r>
        <w:t>Dans le cas d'espèce, il apparaît vraisemblable que seul le locataire entendait conclure un second bail lié au premier, en raison de l'interdépendance entre les deux locaux, résultant avant tout de leur proximité et de son besoin de disposer d'un atelier pour ses gros travaux de menuiserie en plus du premier local loué (celui de 96 m2), utilisé pour les petits travaux sur bois et les tâches administra- tives courantes nécessaires à la bonne marche de l'entreprise. Il ne peut d'ailleurs être exclu que la bailleresse ait sciemment renoncé à lier formellement les baux - sans que cette question n’ait néanmoins été discutée entre les parties à la conclu- sion du second bail (local de 85 m2) - en raison du projet futur de démolition du chalet abritant le premier local. On peut même imaginer qu'elle a volontairement tu cette problématique lors des pourparlers contractuels, de crainte que le bail ne soit alors pas signé par le locataire et que le local demeure vide, engendrant ainsi une perte locative. Quoi qu'il en soit, force est de constater, s'agissant de l'interprétation subjective, qu'une commune et réelle intention des parties, au sens de l'art. 18 al. 1 CO et des jurisprudences précitées, ne peut être établie. L'interprétation objective conduit en revanche à considérer les deux baux comme liés, dans la mesure où le locataire avait clairement manifesté au représentant de la bailleresse son intention d'utiliser le second local comme extension du premier, en précisant qu'il entendait en conséquence procéder à d’importants investissements. En concluant ce second bail, forte de ces informations données par sa cocon- tractante et en vertu du principe de la confiance, la bailleresse admettait impli- citement que le local de 85 m2 venaient agrandir la surface d'exploitation du loca- taire, de telle sorte que les baux devaient être considérés comme liés. Peu importe à cet égard que le second bail ne le mentionne pas, l'interprétation purement litté- rale étant prohibée et les comportements des parties permettant de s'écarter du tex- te même du contrat. En outre, la bailleresse a fait coïncider l'échéance du second bail avec celle du premier, en concluant celui-ci pour une durée inhabituelle de treize mois, ce qui laissait d'autant plus penser à sa partie adverse que les baux étaient liés. Enfin, l'appelant a établi à satisfaction de droit le rapport fonctionnel entre les deux objets - exigence supplémentaire selon la jurisprudence précitée, vu l'ab- sence de volonté commune des parties (ATF 125 III 231) - de sorte que la Cour de céans ne peut que constater que les baux sont effectivement liés. Dès lors, le congé donné par l'intimée le 27 janvier 2011 constitue une résiliation "partielle", laquelle est prohibée. Elle est en conséquence nulle. Cette nullité doit être relevée d'office. Le jugement attaqué sera dès lors annulé et il sera statué dans le sens de ce qui précède.</w:t>
      </w:r>
    </w:p>
    <w:p>
      <w:r>
        <w:t>- 8/9 -</w:t>
      </w:r>
    </w:p>
    <w:p>
      <w:r>
        <w:t>C/4252/2011</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- 9/9 -</w:t>
      </w:r>
    </w:p>
    <w:p>
      <w:r>
        <w:t>C/4252/2011 PAR CES MOTIFS, La Chambre des baux et loyers : A la forme : Déclare recevable l'appel interjeté le 3 juin 2013 par A______ contre le jugement JTBL/449/2013 rendu le 25 avril 2013 par le Tribunal des baux et loyers dans la cause C/4252/2011-4-OSB. Au fond : Annule ce jugement et statuant à nouveau : Constate la nullité du congé "partiel" donné le 27 janvier 2011 par B______ à A______ avec effet au 31 août 2011 pour son local-dépôt de 96 m2 situé dans un chalet sis 1______.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