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ACJC/419/2023 vom 27. März 2023</w:t>
      </w:r>
    </w:p>
    <w:p>
      <w:r>
        <w:t>GE Cour de justice, 2023-03-27, FR</w:t>
      </w:r>
    </w:p>
    <w:p>
      <w:r>
        <w:rPr>
          <w:b/>
        </w:rPr>
        <w:t xml:space="preserve">Quelle: </w:t>
      </w:r>
      <w:r>
        <w:t>https://mcp.opencaselaw.ch/entscheid/ge_gerichte_ACJC_419_2023</w:t>
      </w:r>
    </w:p>
    <w:p>
      <w:r>
        <w:t>FR: GE_GERICHTE ACJC/419/2023 du 27 mars 2023</w:t>
      </w:r>
    </w:p>
    <w:p>
      <w:r>
        <w:t>IT: GE_GERICHTE ACJC/419/2023 del 27 marzo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Bâle, 2ème éd. 2019, n. 13 ad art. 308 CPC).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reproduit in Pra 2003 n. 124 p. 661 consid. 1.1).</w:t>
      </w:r>
    </w:p>
    <w:p>
      <w:r>
        <w:rPr>
          <w:b/>
        </w:rPr>
        <w:t>E. 1.2</w:t>
      </w:r>
    </w:p>
    <w:p>
      <w:r>
        <w:t>En l'espèce, la valeur litigieuse s'élève à 26'160 fr. ((21'888 fr. - 20'580 fr.) x 20). Elle est donc supérieure à 10'000 fr. La voie de l'appel est ainsi ouverte.</w:t>
      </w:r>
    </w:p>
    <w:p>
      <w:r>
        <w:t>- 5/9 -</w:t>
      </w:r>
    </w:p>
    <w:p>
      <w:r>
        <w:t>C/9523/2020</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 bailleresse soutient que les premiers juges auraient violé les art. 243 al. 2 let. c et 247 CPC et constaté inexactement les faits. Selon elle, elle avait démontré les frais de gérance interne à hauteur de 6'412 fr. en moyenne sur cinq ans, correspondant à la comptabilité, l'informatique, les audits, la surveillance et la gestion des biens. A défaut, il revenait au Tribunal de lui ordonner la production de pièces complémentaires sur ce point, comme il aurait dû également le faire pour établir le pourcentage des charges des dix-neuf parkings en sous-sol.</w:t>
      </w:r>
    </w:p>
    <w:p>
      <w:r>
        <w:rPr>
          <w:b/>
        </w:rPr>
        <w:t>E. 2.1</w:t>
      </w:r>
    </w:p>
    <w:p>
      <w:r>
        <w:t>Selon l'art. 243 al. 1 et 2 let. c CPC, la procédure simplifiée s'applique aux affaires patrimoniales dont la valeur litigieuse ne dépasse pas 30'000 fr. Elle s'applique quelle que soit la valeur litigieuse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w:t>
      </w:r>
    </w:p>
    <w:p>
      <w:r>
        <w:t>A teneur de l'art. 247 al. 1 et 2 let. a et b ch. 1 CPC, le tribunal amène les parties, par des questions appropriées, à compléter les allégations insuffisantes et à désigner les moyens de preuve. Le tribunal établit les faits d'office dans les affaires visées à l'art. 243 al. 2 CPC et lorsque la valeur litigieuse ne dépasse pas 30'000 fr. dans les autres litiges portant sur des baux à loyer et à ferme d'habitations et de locaux commerciaux et sur des baux à ferme agricoles. Lorsque la maxime inquisitoire sociale est applicable, le tribunal n'est pas lié par les offres de preuves et par les allégués de fait des parties. Il établit les faits d'office et apprécie librement les preuves. Toutefois, les parties ont le devoir de participer à l'établissement des faits et à l'administration des preuves (ATF 139 III 457 consid. 4.4.3.2; 125 III 231 consid. 4a; 118 II 50 consid. 2a). Dans la procédure simplifiée, le Tribunal décide des mesures à prendre pour que la cause puisse être liquidée autant que possible lors de la première audience (art. 246 al. 1 CPC). Si des circonstances l'exigent, le Tribunal peut ordonner un échange d'écritures et tenir des audiences d'instruction (art. 246 al. 2 CPC).</w:t>
      </w:r>
    </w:p>
    <w:p>
      <w:r>
        <w:t>- 6/9 -</w:t>
      </w:r>
    </w:p>
    <w:p>
      <w:r>
        <w:t>C/9523/2020 Le but de la maxime inquisitoire sociale est de protéger la partie réputée la plus faible et d'assurer l'égalité des parties, ainsi que d'accélérer la procédure. Cette maxime ne doit toutefois pas être comprise comme un commode oreiller de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des pièces, et s'assurer que les allégations et offres de preuves sont complètes s'il a des motifs objectifs d'éprouver des doutes sur ce point. Son obligation ne va toutefois pas au- delà de l'invitation faite aux parties de mentionner les preuves et de les présenter (ATF 125 III 231 consid. 4a), pas plus qu'elle ne lui impose de conseiller les parties sur les questions de procédure (arrêt du Tribunal fédéral 5A_2/2013 du 6 mars 2013 consid. 4.2).</w:t>
      </w:r>
    </w:p>
    <w:p>
      <w:r>
        <w:rPr>
          <w:b/>
        </w:rPr>
        <w:t>E. 2.2</w:t>
      </w:r>
    </w:p>
    <w:p>
      <w:r>
        <w:t>Les charges de l'immeuble à prendre en considération (charges financières, charges courantes, frais d'entretien) correspondent à une moyenne sur une période de trois à cinq ans, en raison de leur fluctuation d'une année à l'autre (ACJC/743/2015 du 22 juin 2015 consid. 3.1). Les charges courantes et les charges d'entretien ne peuvent, en règle générale, être prises en considération qu'à leur montant effectif (LACHAT/STASTNY, Le bail à loyer, Lausanne 2019, p. 562). Pour que la moyenne des charges soit fiable, il est nécessaire de comparer des exercices de référence semblables. Si l'on constate une brusque variation des frais d'entretien d'un exercice à l'autre, il convient d'analyser les raisons d'un tel changement (ACJC/743/2015 du 22 juin 2015 consid. 3.1). Les charges courantes (Betriebskosten) comprennent en particulier les frais de fourniture d'eau, de gaz et d'électricité, les impôts immobiliers (à l'exclusion des impôts relatifs aux revenus ou à la fortune du bailleur) et les diverses taxes, les primes d'assurance liées à l'immeuble, les abonnements d'entretien (ascenseur, chaudière, cheminées, etc.), le salaire du concierge et les honoraires de gérance. Elles ne comprennent pas, par exemple, les frais de publicité, les honoraires d'avocat, même s'ils concernent le bail en cause, les postes non justifiés "divers" et "réserves pour grands travaux", les frais d'administrateur, de contentieux, les impôts non spécifiés, les frais divers et frais juridiques, car imprécis (ACJC/743/2015 du 22 juin 2015 consid. 3.1).</w:t>
      </w:r>
    </w:p>
    <w:p>
      <w:r>
        <w:rPr>
          <w:b/>
        </w:rPr>
        <w:t>E. 2.3</w:t>
      </w:r>
    </w:p>
    <w:p>
      <w:r>
        <w:t>En l'espèce, les premiers juges ont considéré à raison qu'ils ne pouvaient pas retenir la totalité des frais de gérance allégués par la bailleresse à hauteur de 22'483 fr. Les pièces produites faisaient état de charges de gérance moyennes de 16'070 fr. Les charges supplémentaires de 6'412 fr. en moyenne sur cinq ans n'étaient pas étayées par des pièces et comprenaient des frais qui ne pouvaient pas être retenus, comme des frais de contentieux, de surveillance ou de révision.</w:t>
      </w:r>
    </w:p>
    <w:p>
      <w:r>
        <w:t>- 7/9 -</w:t>
      </w:r>
    </w:p>
    <w:p>
      <w:r>
        <w:t>C/9523/2020</w:t>
      </w:r>
    </w:p>
    <w:p>
      <w:r>
        <w:t>Contrairement à ce que soutient l'appelante, seul le montant global de 6'412 fr. apparaît dans les pièces produites, de sorte que le détail de ces frais fait défaut. Conformément à la jurisprudence précitée, il n'appartenait pas au Tribunal de réclamer à la bailleresse le détail de ces frais. De plus, ce montant ne peut pas être repris tel quel sans autre explication détaillée du fait qu'il s'agit d'un forfait. S'agissant du pourcentage des charges des dix-neuf parkings en sous-sol, le Tribunal a retenu à juste titre que la bailleresse n'avait pas produit de pièces suffisamment détaillées permettant de déterminer quels frais et charges allégués étaient afférents au parking. Pour déterminer l'état locatif admissible uniquement pour les appartements, il a donc considéré par hypothèse que les parkings en sous- sol représentaient 3% de la totalité des charges alléguées. Conformément à la jurisprudence, les premiers juges n'avaient pas d'obligation d'ordonner à la bailleresse de produire les charges spécifiques aux dix-neuf parkings en sous-sol, cette dernière ayant produit son calcul de rendement et n'ayant pas jugé utile de distinguer les charges des parkings de celles des appartements. Les premiers juges n'ont donc pas violé les art. 243 al. 2 let. c et 247 CPC et ils ont constaté correctement les faits, de sorte que les griefs de l'appelante seront rejetés sur ces points.</w:t>
      </w:r>
    </w:p>
    <w:p>
      <w:r>
        <w:rPr>
          <w:b/>
        </w:rPr>
        <w:t>E. 3</w:t>
      </w:r>
    </w:p>
    <w:p>
      <w:r>
        <w:t>La bailleresse fait grief au Tribunal de n'avoir pas pris en compte dans le calcul de rendement un taux de rendement raisonnable. Selon elle, il faut additionner au taux hypothécaire de référence de 1.25% son besoin spécifique de rendement en sa qualité de caisse de prévoyance à hauteur de 2.8%, démontré par une expertise actuarielle et les dispositions légales applicables aux caisses de pension, plus encore 0.5% à titre de rendement raisonnable de ses fonds propres, soit 4.55% au total.</w:t>
      </w:r>
    </w:p>
    <w:p>
      <w:r>
        <w:rPr>
          <w:b/>
        </w:rPr>
        <w:t>E. 3.1</w:t>
      </w:r>
    </w:p>
    <w:p>
      <w:r>
        <w:t>Selon l'art. 269 CO, les loyers sont abusifs lorsqu'ils permettent au bailleur d'obtenir un rendement excessif de la chose louée ou lorsqu'ils résultent d'un prix d'achat manifestement exagéré. Le critère du rendement net de l'art. 269 CO se base sur le rendement net des fonds propres investis. Le loyer doit, d'une part, offrir un rendement raisonnable par rapport aux fonds propres investis et, d'autre part, couvrir les charges immobilières (ATF 141 III 245 consid. 6.3 et les références citées). Dans l'ATF 147 III 14 consid. 8.4 cité par le Tribunal et l'appelante, le Tribunal fédéral a fixé le taux admissible à 2% en sus du taux hypothécaire de référence lorsque celui-ci est égal ou inférieur à 2%.</w:t>
      </w:r>
    </w:p>
    <w:p>
      <w:r>
        <w:t>- 8/9 -</w:t>
      </w:r>
    </w:p>
    <w:p>
      <w:r>
        <w:t>C/9523/2020 Le Tribunal fédéral s'est expliqué dans son arrêt en ce sens que, depuis le 1 er mars 1995, le taux d'intérêt hypothécaire de référence a continuellement baissé jusqu'à atteindre 1,25%, de sorte que le rendement ainsi calculé aboutit à un loyer qui n'est plus en rapport avec la mise à disposition de l'usage de l'habitation et qui est insuffisant pour les caisses de pension qui doivent servir des rentes à leurs assurés et pour les propriétaires immobiliers qui courent aussi des risques (défaut de paiement du loyer, locaux demeurant vides, etc.) (ATF 147 III 14 consid. 8.4).</w:t>
      </w:r>
    </w:p>
    <w:p>
      <w:r>
        <w:rPr>
          <w:b/>
        </w:rPr>
        <w:t>E. 3.2</w:t>
      </w:r>
    </w:p>
    <w:p>
      <w:r>
        <w:t>En l'espèce, les premiers juges ont à bon droit appliqué la jurisprudence précitée du Tribunal fédéral (ATF 147 III 14 consid. 8.4) ainsi que les règles du code des obligations.</w:t>
      </w:r>
    </w:p>
    <w:p>
      <w:r>
        <w:t>La jurisprudence précitée a pris en considération l'évolution de la conjoncture et la situation spécifique des caisses de pension, dont l'obligation est de servir des rentes à leurs assurés pour arrêter le taux admissible. Les dispositions légales applicables aux caisses de pension, de même que des expertises actuarielles spécifiques, n'entrent donc pas en considération en sus de ce qui précède dans le calcul de rendement fondé sur l'art. 269 CO. Le grief de l'appelante sera dès lors rejeté et le jugement entrepris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C/9523/2020 PAR CES MOTIFS, La Chambre des baux et loyers : A la forme : Déclare recevable l'appel interjeté le 9 juin 2022 par CAISSE DE PREVOYANCE A______ contre le jugement JTBL/336/2022 rendu le 9 mai 2022 par le Tribunal des baux et loyers dans la cause C/9523/2020.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