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ACJC/418/2025 vom 20. November 2024</w:t>
      </w:r>
    </w:p>
    <w:p>
      <w:r>
        <w:t>GE Cour de justice, 2024-11-20, FR</w:t>
      </w:r>
    </w:p>
    <w:p>
      <w:r>
        <w:rPr>
          <w:b/>
        </w:rPr>
        <w:t xml:space="preserve">Quelle: </w:t>
      </w:r>
      <w:r>
        <w:t>https://mcp.opencaselaw.ch/entscheid/ge_gerichte_ACJC_418_2025</w:t>
      </w:r>
    </w:p>
    <w:p>
      <w:r>
        <w:t>FR: GE_GERICHTE ACJC/418/2025 du 20 novembre 2024</w:t>
      </w:r>
    </w:p>
    <w:p>
      <w:r>
        <w:t>IT: GE_GERICHTE ACJC/418/2025 del 20 novembre 2024</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t>L'intitulé erroné d'un recours ne nuit pas à son auteur, pour autant que les conditions de recevabilité de la voie de droit correcte soient remplies (ATF 134 III 379 consid. 1.2; 135 III 329 consid. 1.1). Tel est le cas en ce qui concerne un recours par rapport à un appel, dès lors que les motifs recevables en appel sont plus larges que dans le cadre d'un recours (cf. art. 310 CPC par rapport à l'art. 320 CPC; arrêt du Tribunal fédéral 5A_235/2023 du 19 avril 2023 consid. 2, résumé in CPC Online, art. 132 CPC).</w:t>
      </w:r>
    </w:p>
    <w:p>
      <w:r>
        <w:t>- 4/7 -</w:t>
      </w:r>
    </w:p>
    <w:p>
      <w:r>
        <w:t>C/17445/2024</w:t>
      </w:r>
    </w:p>
    <w:p>
      <w:r>
        <w:rPr>
          <w:b/>
        </w:rPr>
        <w:t>E. 1.2</w:t>
      </w:r>
    </w:p>
    <w:p>
      <w:r>
        <w:t>En l'espèce, nonobstant son intitulé erroné de recours, l'appel est recevable pour avoir été interjeté auprès de l'autorité compétente (art. 120 al. 1 let. a LOJ), selon la forme prescrite par la loi (art. 130, 131 et 311 CPC) et dans le délai utile de 10 jours (art. 142 al. 3, 271 et 314 al. 1 CPC), à l'encontre d'un jugement de mesures protectrices de l'union conjugale, considéré comme une décision sur mesures provisionnelles (art. 308 al. 1 let. b CPC; ATF 137 III 475 consid. 4.1) rendue dans une affaire pécuniaire puisque portant sur l'attribution de la voiture familiale (sur la nature pécuniaire en matière d'attribution du domicile conjugal : arrêt du Tribunal fédéral 5A_934/2023 du 5 juin 2024 consid. 1), dont la valeur litigieuse atteint 10'000 fr. (en retenant une valeur de leasing de 200 fr. par mois x 12 x 20 = 48'000 fr.; art. 92 al. 2 CPC).</w:t>
      </w:r>
    </w:p>
    <w:p>
      <w:r>
        <w:rPr>
          <w:b/>
        </w:rPr>
        <w:t>E. 1.3</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t>La maxime de disposition est applicable (art. 58 al. 1 CPC).</w:t>
      </w:r>
    </w:p>
    <w:p>
      <w:r>
        <w:rPr>
          <w:b/>
        </w:rPr>
        <w:t>E. 2</w:t>
      </w:r>
    </w:p>
    <w:p>
      <w:r>
        <w:t>L'appelant produit une pièce nouvelle avec son appel et forme des allégués nouveaux.</w:t>
      </w:r>
    </w:p>
    <w:p>
      <w:r>
        <w:rPr>
          <w:b/>
        </w:rPr>
        <w:t>E. 2.1</w:t>
      </w:r>
    </w:p>
    <w:p>
      <w:r>
        <w:t>La Cour examine d'office la recevabilité des faits et moyens de preuve nouveaux en appel (REETZ/HILBER, Kommentar zur Schweizerischen Zivilprozessordnung [ZPO], 3ème éd., 2016,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Ces conditions sont cumulatives (ATF 144 III 349 consid. 4.2.1).</w:t>
      </w:r>
    </w:p>
    <w:p>
      <w:r>
        <w:t>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w:t>
      </w:r>
    </w:p>
    <w:p>
      <w:r>
        <w:t>- 5/7 -</w:t>
      </w:r>
    </w:p>
    <w:p>
      <w:r>
        <w:t>C/17445/2024 en première instance (ATF 143 III 42 consid. 5.3 in SJ 2017 I 460 et les références citées).</w:t>
      </w:r>
    </w:p>
    <w:p>
      <w:r>
        <w:t>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2.2</w:t>
      </w:r>
    </w:p>
    <w:p>
      <w:r>
        <w:t>En l'espèce, l'appelant expose qu'il ne peut pas utiliser librement le véhicule G______/4______ qui est réservé aux activités de l'association H______, dont il est président. La voiture était pour lui nécessaire car il devait se rendre auprès de sous-traitants dans le Jura en vue de développer son activité professionnelle dans le secteur de l'horlogerie. Or, ces éléments, invoqués pour la première fois en appel alors qu'ils étaient connus de l'appelant déjà durant la procédure de première instance, apparaissent irrecevables. Quant au procès-verbal de la séance du comité de l'association H______, daté du 28 novembre 2024 et produit avec l'acte d'appel, il est certes postérieur au prononcé du jugement de première instance, mais il s'agit d'un procès-verbal établi pour les besoins de la cause, visiblement sur initiative de l'appelant, pour soutenir sa position dans la procédure l'opposant à son épouse. Le procès-verbal indique d'ailleurs que le véhicule pourrait être utilisé "par le requérant", et non pas par le président de l'association, le terme requérant faisant allusion à une position procédurale qui n'a pas de sens dans le document en question.</w:t>
      </w:r>
    </w:p>
    <w:p>
      <w:r>
        <w:t>Les faits nouveaux et la pièce nouvelle sont donc irrecevables. Fussent-ils même recevables, ils ne modifieraient pas l'issue de la procédure.</w:t>
      </w:r>
    </w:p>
    <w:p>
      <w:r>
        <w:rPr>
          <w:b/>
        </w:rPr>
        <w:t>E. 3.1</w:t>
      </w:r>
    </w:p>
    <w:p>
      <w:r>
        <w:t>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Une voiture peut aussi faire partie du mobilier (ATF 114 II 18 consid. 4; arrêt du Tribunal fédéral 5P.179/2002 du 1er juillet 2002 consid. 3.1).</w:t>
      </w:r>
    </w:p>
    <w:p>
      <w:r>
        <w:rPr>
          <w:b/>
        </w:rPr>
        <w:t>E. 3.2</w:t>
      </w:r>
    </w:p>
    <w:p>
      <w:r>
        <w:t>En l'espèce, l'attribution du domicile conjugal à E______ à l'épouse n'est pas remise en cause en appel. L'intimée y réside avec les deux enfants majeures du couple, de sorte que l'attribution du véhicule à celle-ci apparaît appropriée, pour les besoins de la vie courante, la voiture familiale étant restée en mains de</w:t>
      </w:r>
    </w:p>
    <w:p>
      <w:r>
        <w:t>- 6/7 -</w:t>
      </w:r>
    </w:p>
    <w:p>
      <w:r>
        <w:t>C/17445/2024 l'intimée depuis la séparation des époux. L'utilité de la voiture est vraisemblablement plus importante à E______, qui est davantage éloignée du centre-ville de Genève, qu'à F______, où réside l'appelant actuellement. De plus, ce dernier a affirmé devant le premier juge qu'il utilisait depuis la séparation la voiture G______/4______, propriété d'une association dont il est président, mais immatriculée à son nom, de sorte qu'il dispose d'une solution de rechange que l'intimée n'a pas. A cet égard, les explications fournies en appel, selon lesquelles il ne pourrait utiliser la voiture G______/4______ que de manière limitée, apparaissent de circonstance et n'emportent pas la conviction. De plus, l'appelant, qui ne travaille pas, ne fournit aucun élément concret et documenté pour soutenir la nécessité d'utiliser une voiture.</w:t>
      </w:r>
    </w:p>
    <w:p>
      <w:r>
        <w:t>Eu égard à ce qui précède, l'attribution du véhicule C______/1______ immatriculé GE 2______ à l'intimée est fondée.</w:t>
      </w:r>
    </w:p>
    <w:p>
      <w:r>
        <w:t>L'appelant sera donc débouté des fins de son appel.</w:t>
      </w:r>
    </w:p>
    <w:p>
      <w:r>
        <w:rPr>
          <w:b/>
        </w:rPr>
        <w:t>E. 4</w:t>
      </w:r>
    </w:p>
    <w:p>
      <w:r>
        <w:t>Les frais judiciaires de l'appel, arrêtés à 800 fr. (art. 95 al. 1 et 2, 104 al. 1 et 105 CPC; art. 17 et 31 et 37 RTFMC), seront mis à la charge de l'appelant, qui succombe (art. 106 al. 1 CPC), et compensés avec l'avance de frais de même montant effectuée par celui-ci, qui reste acquise à l'Etat de Genève (art. 111 al. 1 CPC).</w:t>
      </w:r>
    </w:p>
    <w:p>
      <w:r>
        <w:t>Il ne sera pas alloué de dépens, l'intimée ayant conclu à ce qu'ils soient compensés. * * * * *</w:t>
      </w:r>
    </w:p>
    <w:p>
      <w:r>
        <w:t>- 7/7 -</w:t>
      </w:r>
    </w:p>
    <w:p>
      <w:r>
        <w:t>C/17445/2024 PAR CES MOTIFS, La Chambre civile : A la forme : Déclare recevable l'appel interjeté le 30 novembre 2024 par A______ contre le jugement JTPI/14645/2024 rendu le 20 novembre 2024 par le Tribunal de première instance dans la cause C/17445/2024. Au fond : Confirme le jugement entrepris. Déboute les parties de toutes autres conclusions. Sur les frais : Arrête les frais judiciaires d'appel à 800 fr., les met à la charge de A______ et les compense avec l'avance effectuée, qui demeure acquise à l'Etat de Genève.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