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ACJC/418/2022 vom 22. Oktober 2021</w:t>
      </w:r>
    </w:p>
    <w:p>
      <w:r>
        <w:t>GE Cour de justice, 2021-10-22, FR</w:t>
      </w:r>
    </w:p>
    <w:p>
      <w:r>
        <w:rPr>
          <w:b/>
        </w:rPr>
        <w:t xml:space="preserve">Quelle: </w:t>
      </w:r>
      <w:r>
        <w:t>https://mcp.opencaselaw.ch/entscheid/ge_gerichte_ACJC_418_2022</w:t>
      </w:r>
    </w:p>
    <w:p>
      <w:r>
        <w:t>FR: GE_GERICHTE ACJC/418/2022 du 22 octobre 2021</w:t>
      </w:r>
    </w:p>
    <w:p>
      <w:r>
        <w:t>IT: GE_GERICHTE ACJC/418/2022 del 22 ottobre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allégations et pièces nouvelles sont irrecevables en procédure de recours (art. 326 al. 1 CPC). Les pièces nouvelles produites par les parties devant la Cour sont dès lors irrecevables.</w:t>
      </w:r>
    </w:p>
    <w:p>
      <w:r>
        <w:rPr>
          <w:b/>
        </w:rPr>
        <w:t>E. 1.4.1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raison sérieuse, un</w:t>
      </w:r>
    </w:p>
    <w:p>
      <w:r>
        <w:t>- 6/11 -</w:t>
      </w:r>
    </w:p>
    <w:p>
      <w:r>
        <w:t>C/9388/2021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w:t>
      </w:r>
    </w:p>
    <w:p>
      <w:r>
        <w:rPr>
          <w:b/>
        </w:rPr>
        <w:t>E. 1.4.2</w:t>
      </w:r>
    </w:p>
    <w:p>
      <w:r>
        <w:t>En l'espèce, la recourante soutient que les faits ont été établis de manière manifestement inexacte à plusieurs égards. Elle fait notamment valoir que le Tribunal ne pouvait pas retenir que les versements effectués entre décembre 2017 et le 8 octobre 2019 avaient été effectués sur la base du contrat de prêt du 8 octobre 2019. Elle doit être suivie à cet égard dans la mesure où, en l'absence d'explication de l'intimée à cet égard, il ne peut être retenu sans arbitraire que des versements ont été effectués en exécution d'un contrat qui n'a été conclu que près de deux ans plus tard. La recourante invoque d'autres faits qui auraient été établis de manière manifestement inexacte par le Tribunal, grief qu'il n'est toutefois pas nécessaire d'examiner au vu des considérations qui suivent.</w:t>
      </w:r>
    </w:p>
    <w:p>
      <w:r>
        <w:rPr>
          <w:b/>
        </w:rPr>
        <w:t>E. 1.5</w:t>
      </w:r>
    </w:p>
    <w:p>
      <w:r>
        <w:t>Les maximes des débats et de disposition s'appliquent (art. 55 al. 1, 255 lit. a a contrario et 58 al. 1 CPC).</w:t>
      </w:r>
    </w:p>
    <w:p>
      <w:r>
        <w:rPr>
          <w:b/>
        </w:rPr>
        <w:t>E. 2</w:t>
      </w:r>
    </w:p>
    <w:p>
      <w:r>
        <w:t>La recourante invoque une violation de l'art. 55 al. 1 CPC. La maxime des débats s'appliquait à la présente cause et le Tribunal ne pouvait fonder son jugement sur des faits qui n'avaient pas été allégués.</w:t>
      </w:r>
    </w:p>
    <w:p>
      <w:r>
        <w:rPr>
          <w:b/>
        </w:rPr>
        <w:t>E. 2.1.1</w:t>
      </w:r>
    </w:p>
    <w:p>
      <w:r>
        <w:t>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reconnaissance de dette dont se prévaut le poursuivant doit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5A_65/2020 du 7 juillet 2020 consid. 4.2.3.1; 5A_740/2018 du 1er avril 2019 consid. 6.1.2 et les références, non publié aux ATF 145 III 160, mais in Pra 2020 n° 3 p. 45). Ainsi, si le montant est dû en vertu d'un autre titre que celui indiqué dans le commandement de payer, la mainlevée doit être rejetée (arrêts du Tribunal fédéral 5D_211/2019 du 29 mai 2020 consid. 5.2.1; 5A_1023/2018 du 8 juillet 2019 consid. 6.2.4.2 et les références). Ces trois identités sont examinées d’office par le juge de la mainlevée (ATF</w:t>
      </w:r>
    </w:p>
    <w:p>
      <w:r>
        <w:t>- 7/11 -</w:t>
      </w:r>
    </w:p>
    <w:p>
      <w:r>
        <w:t>C/9388/2021 139 III 444 consid. 4.1.1; arrêt du Tribunal fédéral 5A_40/2013 du 29 octobre 2013, consid. 2.2, SJ 2014 I 172).</w:t>
      </w:r>
    </w:p>
    <w:p>
      <w:r>
        <w:rPr>
          <w:b/>
        </w:rPr>
        <w:t>E. 2.1.2</w:t>
      </w:r>
    </w:p>
    <w:p>
      <w:r>
        <w:t>Lorsqu'une créance est garantie par gage, la poursuite doit se continuer par la réalisation de gage (art. 41 al. 1 LP), sitôt que le préposé est informé de l'existence du droit de gage (art. 151 al. 1 LP). L'exception du bénéfice de discussion réelle (i.e. beneficium excussionis realis) permet au débiteur d'exiger que son créancier se désintéresse d'abord sur l'objet du bien remis en gage (au sens de l'art. 37 LP; ATF 129 III 360 consid. 1) avant de le faire sur tous ses autres biens (ATF 140 III180 consid. 5.1.4). Lors de la remise de la cédule hypothécaire au porteur à titre de garantie fiduciaire (Sicherungsübereignung), les parties peuvent prévoir ou exclure l'exception du bénéfice de discussion réelle, que ce soit dans les clauses accessoires de la créance cédulaire ou encore dans les clauses (de nature personnelle) du rapport de base. Si les parties conviennent d'une clause de bénéfice de discussion réelle, le débiteur peut exiger de son créancier qu'il poursuive d'abord en réalisation du gage immobilier et donc la créance abstraite; le créancier est donc limité dans ses droits de faire valoir la créance causale. En revanche, lorsque les parties excluent le bénéfice de discussion réelle, le débiteur renonce à exiger que le créancier fasse réaliser d'abord le gage; le créancier est donc libre de réclamer en premier lieu la créance causale, par la poursuite ordinaire (ATF 140 III 180 consid 5.1.5).</w:t>
      </w:r>
    </w:p>
    <w:p>
      <w:r>
        <w:rPr>
          <w:b/>
        </w:rPr>
        <w:t>E. 2.1.3</w:t>
      </w:r>
    </w:p>
    <w:p>
      <w:r>
        <w:t>La procédure sommaire est introduite par une requête écrite (art. 252 al. 1 CPC). La requête doit contenir l'allégation des faits nécessaires au prononcé de la mainlevée. Dans les cas simples, la désignation du titre et la description de l'essentiel de son contenu est suffisante. Des allégations plus détaillées seront en revanche nécessaires par exemple si le titre résulte d'une pluralité de documents, ou si l'exigibilité de la créance ou l'une des trois identités ne résulte pas immédiatement du titre (en particulier si la détermination du montant dû selon le titre nécessite certaines opérations arithmétiques), afin que le juge comprenne comment celles-ci s'articulent (cf. notamment ABBET, op. cit., n. 56 ad art. 84 LP; STAEHELIN, in Basler Kommentar, Bundesgesetz über Schuldbetreibung und Konkurs, vol. I, 3ème éd., 2021, n. 36d ad art. 84 LP) et qu'il puisse déterminer si la requête se fonde effectivement sur un titre de mainlevée valable. Un simple renvoi en bloc à des pièces du dossier en guise d'exposé des faits est en principe insuffisant (arrêt du Tribunal fédéral 4D_76/2020 du 2 juin 2021 consid. 5.3 et les références citées). L'allégation par renvoi à une pièce peut suffire à une allégation régulière et suffisante si l'accès aux informations contenues dans la pièce est aisé et ne laisse aucune marge d'interprétation. Le renvoi dans le mémoire doit désigner clairement une pièce, ainsi que la partie de cette pièce qui vaut allégation. Si la pièce n'est pas claire en elle-même, ou ne contient pas exactement les informations requises, ou citées dans le mémoire, l'allégation n'est</w:t>
      </w:r>
    </w:p>
    <w:p>
      <w:r>
        <w:t>- 8/11 -</w:t>
      </w:r>
    </w:p>
    <w:p>
      <w:r>
        <w:t>C/9388/2021 régulière que si la pièce est concrétisée et expliquée dans le mémoire (ATF 144 III 519 et note BASTONS BULLETTI in CPC Online, newsletter du 21 mars 2018).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(arrêts du Tribunal fédéral 4A_558/2020 du 18 mai 2021 consid. 6; 4A_309/2013 du 16 décembre 2013 consid. 3.2).</w:t>
      </w:r>
    </w:p>
    <w:p>
      <w:r>
        <w:rPr>
          <w:b/>
        </w:rPr>
        <w:t>E. 2.2</w:t>
      </w:r>
    </w:p>
    <w:p>
      <w:r>
        <w:t>En l'espèce, la requête de mainlevée mentionne uniquement que "les prêts hypothécaires ont été dénoncés au remboursement", sans exposer de quels prêts il s'agissait. Des pièces ont été déposées sans qu'elles soient évoquées et détaillées dans la requête. Un contrat cadre pour produit hypothécaire a certes été produit, mais il a été conclu postérieurement aux versements dont la recourante a réclamé le remboursement. Le commandement de payer énonce par ailleurs comme cause de l'obligation cinq "hypothèques" lesquelles ne constituent pas en elles-mêmes des titres de mainlevée dans la mesure où ces documents relatifs aux divers prêts ne sont pas signés par la recourante. L'intimée a par ailleurs mentionné dans sa requête, comme titre de mainlevée, le contrat cadre du 8 octobre 2019. Il n'y a dès lors pas d'identité entre la prétention déduite en poursuite mentionnée dans le commandement de payer et le titre de mainlevée invoqué dans la requête. La cause présentait une certaine complexité et portait sur une somme totale de plusieurs millions de francs, de sorte qu'il appartenait à l'intimée de fournir un minimum d'éclaircissements. Elle ne pouvait notamment pas se contenter de produire des pièces sans fournir d'explications, par exemple, sur les conditions de dénonciation des prêts ou les conditions auxquelles elle pouvait se prévaloir de la créance découlant du prêt plutôt que de la créance abstraite résultant de la cédule hypothécaire, lesquelles ne pouvaient par ailleurs être fixées dans le contrat du 8 octobre 2019, ce qui vaut pour l'ensemble des versements, y compris le dernier effectué en 2020. Il a certes été effectué postérieurement à la conclusion du contrat du 8 octobre 2019, mais il n'a toutefois pas été allégué qu'il aurait été effectué sur la base d'un autre contrat que les précédents; il ne mentionne pas, en tout état de cause, à quel contrat cadre il se réfère. La recourante n'a certes pas contesté que ces conditions n'étaient pas réunies, mais elle ne pouvait pas contester des faits qui n'avaient pas été allégués.</w:t>
      </w:r>
    </w:p>
    <w:p>
      <w:r>
        <w:t>- 9/11 -</w:t>
      </w:r>
    </w:p>
    <w:p>
      <w:r>
        <w:t>C/9388/2021 Le Tribunal fédéral indique certes parfois que le créancier ne peut motiver sa requête qu'en produisant le titre et la production de cette pièce – considérée en vertu de son contenu, de son origine et des caractéristiques extérieures comme un tel titre – suffit pour que la mainlevée soit prononcée (ATF 132 III 140 consid. 4.1; arrêt du Tribunal fédéral 5A_65/2020 du 7 juillet 2020, consid. 4.2.1). Ceci ne vaut toutefois que pour les cas simples, ce qui n'est pas le cas en l'espèce et l'intimée ne pouvait se limiter à produire des pièces, dont le contenu présentait une certaine technicité, sans même s'y référer dans sa requête, ce d'autant que, comme déjà indiqué, elle a produit un contrat cadre pour prêt hypothécaire conclu postérieurement aux versements dont elle réclamait le remboursement. Le fait que le juge de la mainlevée doit examiner d'office l'existence d'un titre de mainlevée provisoire de l'opposition ne dispensait pas davantage l'intimée de fournir un minimum d'explications dans la mesure où cet examen d'office s'effectue sur la base des faits allégués. Au vu de ce qui précède, le Tribunal ne pouvait pas admettre sur la base des faits allégués et des pièces produites que les conditions pour prononcer la mainlevée de l'opposition formée au commandement de payer, poursuite n° 1______, étaient réunies Le recours est fondé, de sorte que le jugement attaqué sera annulé (art. 327 al. 3 CPC) et la requête de mainlevée rejetée.</w:t>
      </w:r>
    </w:p>
    <w:p>
      <w:r>
        <w:rPr>
          <w:b/>
        </w:rPr>
        <w:t>E. 3</w:t>
      </w:r>
    </w:p>
    <w:p>
      <w:r>
        <w:t>Les frais judiciaires, arrêtés à 2'000 fr. pour la première instance et à 3'000 fr. pour la seconde (art. 48 et 61 OELP), seront mis à la charge de l'intimée, qui succombe (art. 106 al.1 CPC), laquelle versera ce deuxième montant à la recourante qui en a fait l'avance.</w:t>
      </w:r>
    </w:p>
    <w:p>
      <w:r>
        <w:t>L'intimée sera également condamnée à verser à la recourante 3'000 fr. à titre de dépens de première instance et 2'000 fr. à titre de dépens de seconde instance, débours et TVA compris (art. 85, 89 et 90 RTFMC). * * * * *</w:t>
      </w:r>
    </w:p>
    <w:p>
      <w:r>
        <w:t>- 10/11 -</w:t>
      </w:r>
    </w:p>
    <w:p>
      <w:r>
        <w:t>C/9388/2021 PAR CES MOTIFS, La Chambre civile : A la forme : Déclare recevable le recours interjeté par A______ SA contre le jugement JTPI/13576/2021 rendu le 22 octobre 2021 par le Tribunal de première instance dans la cause C/9388/2021-19 SML. Au fond : Annule ce jugement et, cela fait: Rejette la requête de mainlevée de l'opposition formée par B______ SA le 11 mai 2021 dans la cause C/9388/2021. Déboute les parties de toutes autres conclusions. Sur les frais : Arrête les frais judiciaires à 2'000 fr. pour la première instance et à 3'000 fr. pour la seconde instance, les met à la charge de B______ SA et dit qu'ils sont compensés avec les avances fournies, qui restent acquises à l'Etat de Genève. Condamne B______ SA à verser à A______ SA la somme de 3'000 fr. à titre de frais judiciaires. Condamne B______ SA à verser à A______ SA la somme de 5'000 fr. à titre de dépens. Siégeant : Monsieur Laurent RIEBEN, président; Madame Nathalie LANDRY-BARTHE, Madame Fabienne GEISINGER-MARIETHOZ, juges; Madame Marie-Pierre GROSJEAN, greffière.</w:t>
      </w:r>
    </w:p>
    <w:p>
      <w:r>
        <w:t>Le président : Laurent RIEBEN</w:t>
      </w:r>
    </w:p>
    <w:p>
      <w:r>
        <w:t>La greffière : Marie-Pierre GROSJEAN</w:t>
      </w:r>
    </w:p>
    <w:p>
      <w:r>
        <w:t>- 11/11 -</w:t>
      </w:r>
    </w:p>
    <w:p>
      <w:r>
        <w:t>C/9388/2021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