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ACJC/417/2019 vom 26. September 2018</w:t>
      </w:r>
    </w:p>
    <w:p>
      <w:r>
        <w:t>GE Cour de justice, 2018-09-26, FR</w:t>
      </w:r>
    </w:p>
    <w:p>
      <w:r>
        <w:rPr>
          <w:b/>
        </w:rPr>
        <w:t xml:space="preserve">Quelle: </w:t>
      </w:r>
      <w:r>
        <w:t>https://mcp.opencaselaw.ch/entscheid/ge_gerichte_ACJC_417_2019</w:t>
      </w:r>
    </w:p>
    <w:p>
      <w:r>
        <w:t>FR: GE_GERICHTE ACJC/417/2019 du 26 septembre 2018</w:t>
      </w:r>
    </w:p>
    <w:p>
      <w:r>
        <w:t>IT: GE_GERICHTE ACJC/417/2019 del 26 settembre 2018</w:t>
      </w:r>
    </w:p>
    <w:p>
      <w:pPr>
        <w:pStyle w:val="Heading2"/>
      </w:pPr>
      <w:r>
        <w:t>Erwägungen</w:t>
      </w:r>
    </w:p>
    <w:p>
      <w:r>
        <w:rPr>
          <w:b/>
        </w:rPr>
        <w:t>E. 1.1</w:t>
      </w:r>
    </w:p>
    <w:p>
      <w:r>
        <w:t>S'agissant d'une procédure de mainlevée, seule la voie du recours est ouverte (art. 309 let. b ch. 3 et 319 let. a CPC). La procédure sommaire s'applique (art. 251 let. a CPC).</w:t>
      </w:r>
    </w:p>
    <w:p>
      <w:r>
        <w:t>- 4/6 -</w:t>
      </w:r>
    </w:p>
    <w:p>
      <w:r>
        <w:t>C/1700/2018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255 let. a a contrario et 58 al. 1 CPC).</w:t>
      </w:r>
    </w:p>
    <w:p>
      <w:r>
        <w:rPr>
          <w:b/>
        </w:rPr>
        <w:t>E. 2</w:t>
      </w:r>
    </w:p>
    <w:p>
      <w:r>
        <w:t>Les conclusions, les allégations de faits et les preuves nouvelles sont irrecevables (art. 326 al. 1 CPC). Les allégués nouvellement formulés par le recourant ne sont donc pas recevables.</w:t>
      </w:r>
    </w:p>
    <w:p>
      <w:r>
        <w:rPr>
          <w:b/>
        </w:rPr>
        <w:t>E. 3</w:t>
      </w:r>
    </w:p>
    <w:p>
      <w:r>
        <w:t>L'application du droit suisse des poursuites à la présente espèce, retenue à raison par le Tribunal, n'est pas remise en cause.</w:t>
      </w:r>
    </w:p>
    <w:p>
      <w:r>
        <w:t>Le recourant n'a pas non plus contesté en première instance que l'intimé avait établi, en tant que de besoin, la validité du contrat d'investissement au regard du droit applicable étranger. Ses protestations dans la présente procédure de recours, liées uniquement à la supposée incomplétude de la consultation du fait de l'absence de mention de son courrier du 29 janvier 2015 (lui-même dépourvu de pertinence in casu comme exposé ci-après) sont tardives et infondées.</w:t>
      </w:r>
    </w:p>
    <w:p>
      <w:r>
        <w:rPr>
          <w:b/>
        </w:rPr>
        <w:t>E. 4</w:t>
      </w:r>
    </w:p>
    <w:p>
      <w:r>
        <w:t>Le recourant reproche au Tribunal de ne pas avoir retenu que le courrier du 29 janvier 2015 qu'il avait produit permettait de comprendre la volonté des parties telle qu'exprimée dans les contrats d'investissement et de garantie.</w:t>
      </w:r>
    </w:p>
    <w:p>
      <w:r>
        <w:rPr>
          <w:b/>
        </w:rPr>
        <w:t>E. 4.1</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w:t>
      </w:r>
    </w:p>
    <w:p>
      <w:r>
        <w:t>- 5/6 -</w:t>
      </w:r>
    </w:p>
    <w:p>
      <w:r>
        <w:t>C/1700/2018 créancier, sa nature formelle - et non la validité de la créance - et lui attribue force exécutoire (ATF 132 III 140 consid. 4.1). De jurisprudence constante, le juge n'a ni à revoir ni à interpréter le titre qui est produit (ATF 143 III 564 consid. 4.3.2 et les références citées).</w:t>
      </w:r>
    </w:p>
    <w:p>
      <w:r>
        <w:rPr>
          <w:b/>
        </w:rPr>
        <w:t>E. 4.2</w:t>
      </w:r>
    </w:p>
    <w:p>
      <w:r>
        <w:t>En l'espèce, le recourant ne remet pas en cause le titre sur lequel l'intimé a fondé ses conclusions de mainlevée - sous la réserve de son argumentation liée au courrier qu'il a produit - ni le montant de la créance déduite en poursuite.</w:t>
      </w:r>
    </w:p>
    <w:p>
      <w:r>
        <w:t>Il résulte dudit titre que le recourant s'est porté garant du montant dû sur la base du contrat d'investissement, en cas de défaillance de E______, condition dont l'avènement n'est pas contesté.</w:t>
      </w:r>
    </w:p>
    <w:p>
      <w:r>
        <w:t>Le recourant se prévaut de ce que son engagement de payer aurait été conditionné à la remise d'actions et de chèques, comme il l'aurait explicité dans le courrier, portant la même date que les contrats d'investissement et de garantie. Outre que le recourant n'a pas apporté d'élément permettant de retenir qu'un tel courrier aurait été effectivement adressé à l'intimé, le contenu même dudit courrier n'est pas de nature à convaincre. Ainsi que l'a retenu le Tribunal, sans être critiqué sur ce point par le recourant, les supposées conditions (remises d'actions et de chèques avant remboursement intégral du prêt) que contient ce courrier sont en contradiction avec une claire stipulation du contrat d'investissement - signé par le recourant - prévoyant la solution inverse. Cette circonstance affaiblit d'autant la thèse du recourant. Au demeurant, l'interprétation de l'ensemble des accords des parties, qui comprendrait le courrier susmentionné, souhaitée par le recourant, qui n'explique en rien ladite contradiction, n'a en tout état pas sa place dans la présente procédure. Le recourant soulève encore un grief d'abus de droit, qui repose sur l'allégation de faits nouveaux, partant irrecevables. Il n'y a dès lors pas lieu de s'y arrêter davantage. Dès lors, le Tribunal a retenu à raison que l'intimé disposait d'un titre de mainlevée provisoire.</w:t>
      </w:r>
    </w:p>
    <w:p>
      <w:r>
        <w:rPr>
          <w:b/>
        </w:rPr>
        <w:t>E. 4.3</w:t>
      </w:r>
    </w:p>
    <w:p>
      <w:r>
        <w:t>Le recours sera rejeté.</w:t>
      </w:r>
    </w:p>
    <w:p>
      <w:r>
        <w:rPr>
          <w:b/>
        </w:rPr>
        <w:t>E. 5</w:t>
      </w:r>
    </w:p>
    <w:p>
      <w:r>
        <w:t>Le recourant, qui succombe, supportera les frais du recours (art. 106 al. 1 CPC), arrêtés à 1'125 fr. (art. 48, 61 OELP), compensés avec l'avance versée, acquise à l'Etat de Genève (art. 111 al. 1 CPC).</w:t>
      </w:r>
    </w:p>
    <w:p>
      <w:r>
        <w:t>Il versera en outre à l'intimé 2'000 fr. (art. 81, 84, 89 RTFMC) à titre de dépens, débours inclus (art. 25 LaCC). * * * * *</w:t>
      </w:r>
    </w:p>
    <w:p>
      <w:r>
        <w:t>- 6/6 -</w:t>
      </w:r>
    </w:p>
    <w:p>
      <w:r>
        <w:t>C/1700/2018 PAR CES MOTIFS, La Chambre civile : A la forme : Déclare recevable recours interjeté le 8 octobre 2018 par A______ contre le jugement JTPI/14713/2018 rendu le 26 septembre 2018 par le Tribunal de première instance dans la cause C/1700/2018-19 SML. Au fond : Rejette ce recours. Déboute les parties de toutes autres conclusions. Sur les frais : Arrête les frais du recours à 1'125 fr., compensés avec l'avance opérée, acquise à l'Etat de Genève, et les met à la charge de A______. Condamne A______ à verser à B______ 2'000 fr. à titre de dépens de recours.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