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ACJC/416/2023 vom 28. Juni 2012</w:t>
      </w:r>
    </w:p>
    <w:p>
      <w:r>
        <w:t>GE Cour de justice, 2012-06-28, FR</w:t>
      </w:r>
    </w:p>
    <w:p>
      <w:r>
        <w:rPr>
          <w:b/>
        </w:rPr>
        <w:t xml:space="preserve">Quelle: </w:t>
      </w:r>
      <w:r>
        <w:t>https://mcp.opencaselaw.ch/entscheid/ge_gerichte_ACJC_416_2023</w:t>
      </w:r>
    </w:p>
    <w:p>
      <w:r>
        <w:t>FR: GE_GERICHTE ACJC/416/2023 du 28 juin 2012</w:t>
      </w:r>
    </w:p>
    <w:p>
      <w:r>
        <w:t>IT: GE_GERICHTE ACJC/416/2023 del 28 giugno 2012</w:t>
      </w:r>
    </w:p>
    <w:p>
      <w:pPr>
        <w:pStyle w:val="Heading2"/>
      </w:pPr>
      <w:r>
        <w:t>Erwägungen</w:t>
      </w:r>
    </w:p>
    <w:p>
      <w:r>
        <w:rPr>
          <w:b/>
        </w:rPr>
        <w:t>E. 1.1</w:t>
      </w:r>
    </w:p>
    <w:p>
      <w:r>
        <w:t>La cause présente un élément d'extranéité en raison du domicile à l'étranger du requérant et de la mineure dont l'adoption est sollicitée. L'adoption est prononcée par les autorités judiciaires ou administratives suisses du domicile de l'adoptant ou des époux adoptants (art. 75 al. 1 LDIP). L'art. 76 LDIP prévoit également un for au lieu d'origine. Selon cette disposition, sont compétentes pour prononcer l'adoption les autorités judiciaires ou administratives du lieu d'origine, lorsque l'adoptant ou les époux adoptants ne sont pas domiciliés en Suisse et que l'un deux est suisse et lorsqu'ils ne peuvent adopter à leur domicile à l'étranger, ou que l'on ne saurait raisonnablement exiger qu'ils y engagent une procédure d'adoption.</w:t>
      </w:r>
    </w:p>
    <w:p>
      <w:r>
        <w:t>- 6/9 -</w:t>
      </w:r>
    </w:p>
    <w:p>
      <w:r>
        <w:t>C/17210/2018 La Chambre de surveillance, dans son arrêt du 12 mai 2021, a retenu que l’autorité du for d’origine (art. 76 LDIP), soit Genève, était en l'espèce compétente pour se prononcer sur l’adoption requise.</w:t>
      </w:r>
    </w:p>
    <w:p>
      <w:r>
        <w:rPr>
          <w:b/>
        </w:rPr>
        <w:t>E. 1.2</w:t>
      </w:r>
    </w:p>
    <w:p>
      <w:r>
        <w:t>La Cour de justice est ainsi compétente pour statuer sur la requête d’adoption requise (120 al. 1 let.c LOJ). Le droit suisse est applicable (art. 77 al. 1 LDIP).</w:t>
      </w:r>
    </w:p>
    <w:p>
      <w:r>
        <w:rPr>
          <w:b/>
        </w:rPr>
        <w:t>E. 2.1</w:t>
      </w:r>
    </w:p>
    <w:p>
      <w:r>
        <w:t>Un enfant mineur peut être adopté si le ou les adoptants lui ont fourni des soins et pourvu à son éducation pendant au moins un an et si toutes les circonstances permettent de prévoir que l'établissement d'un lien de filiation servira le bien de l'enfant sans porter une atteinte inéquitable à la situation d'autres enfants du ou des adoptants (art. 264 al. 1 CC). Une personne peut adopter l'enfant de son conjoint pour autant que le couple fasse ménage commun depuis au moins trois ans (art. 264c al. 1 ch. 1 et al. 2 CC). La différence d'âge entre l'enfant et le ou les adoptants ne peut pas être inférieure à seize ans, ni supérieure à 45 ans. Des exceptions sont possibles si le bien de l'enfant le commande (art. 264d al. 1 et 2 CC). Dans le cadre de l'adoption de l'enfant du conjoint ou du partenaire, réglée à l'art. 264c CC, il convient de renoncer à toute limite d'âge, car l'adoption ne consiste alors pas à créer juridiquement des liens de filiation entre des personnes totalement étrangères l'une à l'autre, mais à garantir une certaine sécurité juridique à la relation telle qu'elle est vécue en réalité dans les familles recomposées (Message concernant la modification du Code civil (Droit de l'adoption) du 28 novembre 2014, p. 879). Si l'enfant est capable de discernement, son consentement à l'adoption est requis. Lorsque l'enfant est sous curatelle, le consentement de l'autorité de protection est requis (art. 265 al. 1 et 2 CC). L'adoption requiert le consentement du père et de la mère de l'enfant (art. 265a al. 1 CC). Il peut être fait abstraction du consentement d'un des parents notamment lorsqu'il est inconnu (art. 265c CC). Lorsque le ou les adoptants ont des descendants, leur opinion doit être prise en considération (art. 268a quater al. 1 CC).</w:t>
      </w:r>
    </w:p>
    <w:p>
      <w:r>
        <w:rPr>
          <w:b/>
        </w:rPr>
        <w:t>E. 2.2</w:t>
      </w:r>
    </w:p>
    <w:p>
      <w:r>
        <w:t>Conformément à l'article 267 al. 3 ch. 2 CC, les liens de filiation de l'adoptée avec sa mère biologique ne seront pas rompus.</w:t>
      </w:r>
    </w:p>
    <w:p>
      <w:r>
        <w:rPr>
          <w:b/>
        </w:rPr>
        <w:t>E. 3</w:t>
      </w:r>
    </w:p>
    <w:p>
      <w:r>
        <w:t>3.1.1 L’enfant adopté acquiert le statut juridique d’un enfant du ou des parents adoptifs (art. 267 al. 1 CC). L’enfant de conjoints qui portent un nom de famille commun acquiert ce nom (art. 270 al. 3 CC). L’enfant de conjoints qui portent des noms différents acquiert celui de leurs deux noms de célibataire qu’ils ont choisi de donner à leurs enfants communs lors de la conclusion du mariage (art. 270 al. 1 CC), étant précisé que le choix d'un double nom pour les enfants communs n'est plus possible depuis le 1er janvier 2013. En vertu de l'art. 270a al. 1 CC, lorsque l'autorité parentale est exercée de manière exclusive par l'un des parents, l'enfant acquiert le nom de célibataire de celui-ci. 3.1.2 A la différence du prénom, les père et mère n’ont pas la prérogative d’attribuer un nom de famille librement formé à l’enfant. Pour des raisons d’ordre public et de sécurité des registres de l’état civil, ainsi que pour répondre à ses fonctions d’identification et de rattachement familial, le nom de famille est déterminé par la loi elle-même (MEIER/STETTLER, Droit de la filiation, 2019, n. 827 à 828). 3.1.3 L'enfant acquiert le droit de cité cantonal et communal du parent dont il porte le nom (art. 271 al. 1 CC).</w:t>
      </w:r>
    </w:p>
    <w:p>
      <w:r>
        <w:rPr>
          <w:b/>
        </w:rPr>
        <w:t>E. 3.2</w:t>
      </w:r>
    </w:p>
    <w:p>
      <w:r>
        <w:t>En l’espèce, l'adoptant et son épouse portent des noms de famille différents et ils n’ont aucun enfant commun. L’adoptée porte le nom de famille de sa mère,</w:t>
      </w:r>
    </w:p>
    <w:p>
      <w:r>
        <w:t>- 8/9 -</w:t>
      </w:r>
    </w:p>
    <w:p>
      <w:r>
        <w:t>C/17210/2018 seule détentrice de l’autorité parentale sur la mineure. L’adoptant, son épouse et l’adoptée souhaiteraient que cette dernière conserve son nom de famille actuel, en y accolant avec un trait d’union le nom de famille de l’adoptant. Le choix d’un double-nom n’étant cependant plus possible depuis le 1er janvier 2013, il ne peut être donné une suite favorable à cette requête. L’adoptée conservera donc, après adoption, uniquement le nom de famille [de] C______, soit son nom de famille actuel, qui correspond au choix principal des intéressés. L’adoptée demeurera originaire de G______ (Valais), H______ (Valais) et Genève.</w:t>
      </w:r>
    </w:p>
    <w:p>
      <w:r>
        <w:rPr>
          <w:b/>
        </w:rPr>
        <w:t>E. 4</w:t>
      </w:r>
    </w:p>
    <w:p>
      <w:r>
        <w:t>Les frais de la procédure, arrêtés à 1'000 fr., sont mis à charge du requérant. Ils sont entièrement couverts par l'avance de frais de même montant qui reste acquise à l'Etat de Genève (art. 2 RTFMC; 98, 101, 111 CPC). * * * * *</w:t>
      </w:r>
    </w:p>
    <w:p>
      <w:r>
        <w:t>- 9/9 -</w:t>
      </w:r>
    </w:p>
    <w:p>
      <w:r>
        <w:t>C/17210/2018 PAR CES MOTIFS, La Chambre civile : Prononce l'adoption de B______, née le ______ 2011 à D______ (Algérie), originaire de G______ (Valais), H______ (Valais) et Genève, par A______, né le ______ 1949 à Genève, originaire de J______ (Genève). Dit que le lien de filiation entre B______ et C______, née le ______ 1968 à E______ (F______/France), originaire de G______ (Valais), H______ (Valais) et Genève, n’est pas rompu. Dit que B______ conservera le nom de famille [de] C______ et demeurera originaire de G______ (Valais), H______ (Valais) et Genève. Arrête les frais de la procédure à 1'000 fr., les met à la charge de A______ et dit qu'ils sont entièrement compensés par l'avance versée par ce dernier, laquelle reste acquise à l'Etat de Genève. Siégeant : Monsieur Cédric-Laurent MICHEL, président; Mesdames Ursula ZEHETBAUER GHAVAMI et Jocelyne DEVILLE-CHAVANNE, juges; Madame Jessica QUINODOZ, greffière.</w:t>
      </w:r>
    </w:p>
    <w:p>
      <w:r>
        <w:t>Indication des voies de recours :</w:t>
      </w:r>
    </w:p>
    <w:p>
      <w:r>
        <w:t>Conformément aux art. 308 ss du code de procédure civile (CPC), la présente décision peut faire l'objet d'un appel par-devant la Chambre de surveillance de la Cour de justice dans les 10 jours qui suivent sa notification.</w:t>
      </w:r>
    </w:p>
    <w:p>
      <w:r>
        <w:t>L'appel doit être adressé à la Cour de justice, place du Bourg-de-Four 1, case postale 3108, 1211 Genève 3.</w:t>
      </w:r>
    </w:p>
    <w:p>
      <w:r>
        <w:t>Annexes pour le Service de l'état civil : Pièces déposées par les requérants.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