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ACJC/412/2025 vom 17. Januar 2024</w:t>
      </w:r>
    </w:p>
    <w:p>
      <w:r>
        <w:t>GE Cour de justice, 2024-01-17, FR</w:t>
      </w:r>
    </w:p>
    <w:p>
      <w:r>
        <w:rPr>
          <w:b/>
        </w:rPr>
        <w:t xml:space="preserve">Quelle: </w:t>
      </w:r>
      <w:r>
        <w:t>https://mcp.opencaselaw.ch/entscheid/ge_gerichte_ACJC_412_2025</w:t>
      </w:r>
    </w:p>
    <w:p>
      <w:r>
        <w:t>FR: GE_GERICHTE ACJC/412/2025 du 17 janvier 2024</w:t>
      </w:r>
    </w:p>
    <w:p>
      <w:r>
        <w:t>IT: GE_GERICHTE ACJC/412/2025 del 17 gennaio 2024</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248 let. d et 314 al. 1 CPC). Le litige portant exclusivement sur une question patrimoniale, il est de nature pécuniaire (ATF 133 III 393 consid. 2).</w:t>
      </w:r>
    </w:p>
    <w:p>
      <w:r>
        <w:t>- 9/23 -</w:t>
      </w:r>
    </w:p>
    <w:p>
      <w:r>
        <w:t>C/20934/2022 En l'espèce, la valeur litigieuse minimale est atteinte, de sorte que la voie de l'appel est ouverte.</w:t>
      </w:r>
    </w:p>
    <w:p>
      <w:r>
        <w:rPr>
          <w:b/>
        </w:rPr>
        <w:t>E. 1.2</w:t>
      </w:r>
    </w:p>
    <w:p>
      <w:r>
        <w:t>Formés en temps utile, suivant la forme prescrite par la loi, les deux appels sont recevables. A______ sera désignée ci-après comme l'appelante et B______ comme l'intimé.</w:t>
      </w:r>
    </w:p>
    <w:p>
      <w:r>
        <w:rPr>
          <w:b/>
        </w:rPr>
        <w:t>E. 1.3</w:t>
      </w:r>
    </w:p>
    <w:p>
      <w:r>
        <w:t>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w:t>
      </w:r>
    </w:p>
    <w:p>
      <w:r>
        <w:rPr>
          <w:b/>
        </w:rPr>
        <w:t>E. 1.4</w:t>
      </w:r>
    </w:p>
    <w:p>
      <w:r>
        <w:t>Les mesures provisionnelles sont ordonnées à la suite d'une procédure sommaire (art. 248 let. d, 271 et 276 al. 1 CPC). La cognition du juge des mesures provisionnelles est limitée à la simple vraisemblance des faits et à un examen sommaire du droit (arrêt du Tribunal fédéral 5A_937/2014 du 26 mai 2015 consid. 6.2.2) et les moyens de preuve sont limités à ceux qui sont immédiatement disponibles, l'exigence de célérité étant privilégiée par rapport à celle de sécurité (ATF 127 III 474 consid. 2b/bb; arrêt du Tribunal fédéral 5A_476/2015 du 19 novembre 2015 consid. 3.2.2).</w:t>
      </w:r>
    </w:p>
    <w:p>
      <w:r>
        <w:rPr>
          <w:b/>
        </w:rPr>
        <w:t>E. 1.5</w:t>
      </w:r>
    </w:p>
    <w:p>
      <w:r>
        <w:t>Les maximes de disposition (art. 58 al. 1 CPC) et inquisitoire sociale sont applicables (art. 272 CPC; ATF 129 III 417 consid. 2.1.2; arrêt du Tribunal fédéral 5A_315/2016 du 7 février 2017 consid. 9). Bien que les moyens de preuve ne soient pas restreints aux seuls titres, l'administration des moyens de preuve doit pouvoir intervenir immédiatement. La décision de mesures provisionnelles de divorce, comme celle de mesures protectrices de l'union conjugale, est en principe provisoire et revêtue d'une autorité de la chose jugée limitée, dès lors qu'elle précède généralement la procédure de divorce. La maxime inquisitoire applicable également à la contribution d'entretien du conjoint (art. 272 CPC), ne dispense pas le crédirentier de son devoir de collaborer et donc de préciser les dépenses nécessaires à son train de vie et de rendre celles-ci vraisemblables (arrêt du Tribunal fédéral 5A_661/2011 du 10 février 2012 consid. 2.3 et 4.2).</w:t>
      </w:r>
    </w:p>
    <w:p>
      <w:r>
        <w:rPr>
          <w:b/>
        </w:rPr>
        <w:t>E. 2</w:t>
      </w:r>
    </w:p>
    <w:p>
      <w:r>
        <w:t>Les deux parties ont produit des pièces nouvelles.</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- 10/23 -</w:t>
      </w:r>
    </w:p>
    <w:p>
      <w:r>
        <w:t>C/20934/2022</w:t>
      </w:r>
    </w:p>
    <w:p>
      <w:r>
        <w:rPr>
          <w:b/>
        </w:rPr>
        <w:t>E. 2.2</w:t>
      </w:r>
    </w:p>
    <w:p>
      <w:r>
        <w:t>En l'espèce les pièces nouvelles produites par les parties sont postérieures à la date à laquelle la cause a été gardée à juger par le Tribunal, de sorte qu'elles sont recevables.</w:t>
      </w:r>
    </w:p>
    <w:p>
      <w:r>
        <w:rPr>
          <w:b/>
        </w:rPr>
        <w:t>E. 3</w:t>
      </w:r>
    </w:p>
    <w:p>
      <w:r>
        <w:t>L'appelante requiert de la Cour qu'elle ordonne à l'intimé de produire des pièces relatives à ses charges et revenus.</w:t>
      </w:r>
    </w:p>
    <w:p>
      <w:r>
        <w:rPr>
          <w:b/>
        </w:rPr>
        <w:t>E. 3.1</w:t>
      </w:r>
    </w:p>
    <w:p>
      <w:r>
        <w:t>A teneur de l'art. 316 al. 3 CPC, l'instance d'appel peut administrer les preuves.</w:t>
      </w:r>
    </w:p>
    <w:p>
      <w:r>
        <w:t>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notamment en ne s'opposant pas à la clôture de la procédure probatoire (ATF 138 III 374 consid. 4.3).</w:t>
      </w:r>
    </w:p>
    <w:p>
      <w:r>
        <w:rPr>
          <w:b/>
        </w:rPr>
        <w:t>E. 3.2</w:t>
      </w:r>
    </w:p>
    <w:p>
      <w:r>
        <w:t>En l'espèce, les deux parties ont déclaré lors de la dernière audience du Tribunal que la cause pouvait être gardée à juger sur la base des pièces figurant au dossier, vu le temps écoulé et la nature sommaire de la procédure.</w:t>
      </w:r>
    </w:p>
    <w:p>
      <w:r>
        <w:t>Conformément au principe de la bonne foi cité plus haut, il n'y a pas lieu de revenir sur l'accord des parties sur ce point.</w:t>
      </w:r>
    </w:p>
    <w:p>
      <w:r>
        <w:t>A cela s'ajoute que celles-ci ont par la suite eu à plusieurs reprises l'occasion de produire les pièces qu'elles estimaient nécessaire à la défense de leurs intérêts. Plusieurs classeurs de documents figurent déjà au dossier. Compte tenu de la nature sommaire de la procédure, qui aboutira à une décision de nature provisionnelle et non définitive, il n'y a pas lieu de retarder plus avant l'issue du litige. La Cour statuera dès lors sur la base des éléments figurant au dossier.</w:t>
      </w:r>
    </w:p>
    <w:p>
      <w:r>
        <w:rPr>
          <w:b/>
        </w:rPr>
        <w:t>E. 4</w:t>
      </w:r>
    </w:p>
    <w:p>
      <w:r>
        <w:t>Le Tribunal a considéré que la contribution requise par l'appelante était visiblement excessive par rapport au train de vie des époux, tel qu'il ressortait notamment des déclarations fiscales des parties. Aucun élément concret ne permettait de retenir que celles-ci ne reflétaient pas la réalité de la situation des parties. Les charges admissibles de l'appelante en 18'800 fr. étaient largement couvertes par la contribution de 25'000 fr. que l'intimé s'était engagé à payer depuis juillet 2023, et lui permettait en outre de couvrir ses frais d'avocat et ses impôts.</w:t>
      </w:r>
    </w:p>
    <w:p>
      <w:r>
        <w:t>- 11/23 -</w:t>
      </w:r>
    </w:p>
    <w:p>
      <w:r>
        <w:t>C/20934/2022</w:t>
      </w:r>
    </w:p>
    <w:p>
      <w:r>
        <w:t>L'appelante fait valoir que le train de vie de la famille pendant la vie commune était exceptionnellement élevé. Ses dépenses nécessaires, en 178'000 fr. par mois devaient être fixées sur la base de ses dépenses de carte de crédit P______ engagées entre 2018 et 2020 multipliées par trois en raison du fait qu'elle n'avait pas pu obtenir les relevés de ses deux autres cadres de crédit.</w:t>
      </w:r>
    </w:p>
    <w:p>
      <w:r>
        <w:t>L'intimé fait valoir que les charges de l'appelante retenues par le Tribunal ne correspondent pas à des charges effectives. Ses frais de logement notamment étaient excessifs, et se rapportaient à un appartement pour 8 personnes, comprenant quatre chambres, soit le double de son précédent logement, de sorte qu'ils devaient être réduits à 3'000 fr. par mois.</w:t>
      </w:r>
    </w:p>
    <w:p>
      <w:r>
        <w:t>4.1.1 Saisi d'une requête commune ou d'une demande unilatérale tendant au divorce (art. 274 CPC), le Tribunal ordonne les mesures provisionnelles nécessaires, en appliquant par analogie les dispositions régissant la protection de l'union conjugale (art. 276 al. 1 CPC).</w:t>
      </w:r>
    </w:p>
    <w:p>
      <w:r>
        <w:t>Selon l'art. 176 al. 1 CC, à la requête d'un époux et si la suspension de la vie commune est fondée, le juge fixe les contributions d'entretien à verser respectivement aux enfants et à l'époux, prend les mesures en ce qui concerne le logement et le mobilier de ménage et ordonne la séparation de biens si les circonstances le justifient.</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Les contributions d'entretien se calculent selon la méthode du minimum vital avec répartition de l'excédent (ATF 147 III 265 in SJ 2021 I 316; 147 III 293; 147 III 301). Selon cette méthode, il convient, d'une part, de déterminer les moyens financiers à disposition, à savoir les revenus effectifs ou hypothétiques et, d'autre part, de déterminer les besoins de la personne dont l'entretien est examiné (entretien</w:t>
      </w:r>
    </w:p>
    <w:p>
      <w:r>
        <w:t>- 12/23 -</w:t>
      </w:r>
    </w:p>
    <w:p>
      <w:r>
        <w:t>C/20934/2022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Les besoins des parties sont calculés en partant du minimum vital au sens du droit des poursuites (art. 93 LP). Celui-ci comprend le montant de base fixé par les normes d'insaisissabilité (NI 2023, RS/GE E 3 60.04) auquel s'ajoutent différents frais supplémentaires, à savoir les frais de logement effectifs ou raisonnables (y compris les charges et les frais de chauffage), les coûts de santé, tels que les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lequel comprend notamment les acomptes d'impôts et les primes d'assurances non obligatoires. Les frais de voyage et de loisirs ne sont pas pris en compte, leur financement devant intervenir au moyen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 S'il reste un excédent après couverture du minimum vital du droit de la famille, il sera réparti en équité entre les ayants droits (ATF 147 III 265 consid. 7.3 et 8.3.2). Le train de vie mené jusqu'à cessation de la vie commune constitue la limite supérieure du droit à l'entretien (ATF 147 III 293 consid. 4.4; 141 III 465 consid. 3.1). Le Tribunal fédéral considère que la méthode à deux étapes précitée permet de tenir compte sans problèmes, dans presque tous les cas, des diverses particularités individuelles et que, dans la majorité des situations litigieuses elle allège également la procédure de preuve. L'application cette méthode concrète à deux étapes précitée est ainsi obligatoire, sauf si des circonstances exceptionnelles la font apparaître comme étant dénuée de sens, ce qui peut être le cas lors d'une situation financière extraordinairement favorable. Dans un tel cas, la décision relative à l'entretien devra clairement exposer les motifs pour lesquels il a été dérogé à la règle (ATF 147 III 293JdT 2022 II 107 consid. 4.5).</w:t>
      </w:r>
    </w:p>
    <w:p>
      <w:r>
        <w:t>La détermination de la contribution d'entretien entre conjoints est laissée, pour une part importante, à l'appréciation du juge, qui applique les règles du droit et de l'équité (art. 4 CC; ATF 134 III 577 consid. 4; arrêts du Tribunal fédéral</w:t>
      </w:r>
    </w:p>
    <w:p>
      <w:r>
        <w:t>- 13/23 -</w:t>
      </w:r>
    </w:p>
    <w:p>
      <w:r>
        <w:t>C/20934/2022 5A_93/2019 du 13 septembre 2021 consid. 3.1; 5A_78/2020 du 5 février 2021 consid. 4.1).</w:t>
      </w:r>
    </w:p>
    <w:p>
      <w:r>
        <w:t>4.1.2 La contribution d'entretien peut être réclamée pour l'avenir et pour l'année qui précède l'introduction de la requête (art. 173 al. 3 CC; ATF 129 III 60, consid. 3).</w:t>
      </w:r>
    </w:p>
    <w:p>
      <w:r>
        <w:t>Un éventuel effet rétroactif ne se justifie toutefois que si l'entretien dû n'a pas été assumé en nature ou en espèces et dès qu'il a cessé de l'être (arrêts du Tribunal fédéral 5A_372/2015 du 29 septembre 2015, consid. 3.1; 5A_591/2011 du</w:t>
      </w:r>
    </w:p>
    <w:p>
      <w:r>
        <w:rPr>
          <w:b/>
        </w:rPr>
        <w:t>E. 7</w:t>
      </w:r>
    </w:p>
    <w:p>
      <w:r>
        <w:t>La modification de ladite ordonnance ne justifie pas de revoir le sort des frais et dépens fixés par le Tribunal.</w:t>
      </w:r>
    </w:p>
    <w:p>
      <w:r>
        <w:t>Chacune des parties succombe partiellement en appel, de sorte qu'il se justifie de laisser les frais judiciaires afférents à chaque appel à la charge de son auteur. Les frais judiciaires de l'appel formé par A______, seront arrêtés à 2'200 fr. (art. 31 et 37 RTFMC), celle-ci étant condamnée à verser ce montant au Services financiers du Pouvoir judiciaire.</w:t>
      </w:r>
    </w:p>
    <w:p>
      <w:r>
        <w:t>Les frais judiciaires de l'appel formé par B______, seront quant à eux arrêtés à 2'000 fr. et compensés avec l'avance versée, acquise à l'Etat de Genève (art. 111 CPC).</w:t>
      </w:r>
    </w:p>
    <w:p>
      <w:r>
        <w:t>Chaque partie gardera ses dépens à sa charge (art. 107 let. c CPC). * * * * *</w:t>
      </w:r>
    </w:p>
    <w:p>
      <w:r>
        <w:t>- 22/23 -</w:t>
      </w:r>
    </w:p>
    <w:p>
      <w:r>
        <w:t>C/20934/2022 PAR CES MOTIFS, La Chambre civile : A la forme : Déclare recevable les appels interjetés par A______ et B______ contre l'ordonnance OTPI/64/2024 rendue le 17 janvier 2024 par le Tribunal de première instance dans la cause C/20934/2022. Au fond : Annule les chiffres 1 et 2 du dispositif de cette ordonnance et, statuant à nouveau : Condamne B______ à verser, par mois et d'avance, 28'000 fr. à A______ au titre de contribution à son entretien sur son compte bancaire C______ 1______. Donne acte à B______ de ce qu'il s'engage à laisser à son épouse la jouissance du véhicule D______/2______, la jouissance personnelle du "Guest Chalet" durant quatre semaines par an, la libre jouissance du bien immobilier situé aux E______, détenu par la SCI F______, ainsi que la jouissance personnelle d'un logement au sein du "G______" durant quatre semaines par année. L'y condamne en tant que de besoin. Condamne B______ à verser à A______ 50'000 fr. au titre de provisio ad litem. Confirme l'ordonnance querellée pour le surplus. Déboute les parties de toutes autres conclusions. Sur les frais : Condamne A______ à verser à l'Etat de Genève, soit pour lui les Services financiers du Pouvoir judiciaire, 2'200 fr. au titre des frais judiciaires de l'appel qu'elle a formé. Met à la charge de B______ les frais judiciaires de l'appel qu'il a formé, arrêtés à 2'000 fr. et compensés avec l'avance versée, acquise à l'Etat de Genève.</w:t>
      </w:r>
    </w:p>
    <w:p>
      <w:r>
        <w:t>Dit qu'il n'est pas alloué de dépens d'appel.</w:t>
      </w:r>
    </w:p>
    <w:p>
      <w:r>
        <w:t>- 23/23 -</w:t>
      </w:r>
    </w:p>
    <w:p>
      <w:r>
        <w:t>C/20934/2022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