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ACJC/412/2015 vom 13. April 2015</w:t>
      </w:r>
    </w:p>
    <w:p>
      <w:r>
        <w:t>GE Cour de justice, 2015-04-13, FR</w:t>
      </w:r>
    </w:p>
    <w:p>
      <w:r>
        <w:rPr>
          <w:b/>
        </w:rPr>
        <w:t xml:space="preserve">Quelle: </w:t>
      </w:r>
      <w:r>
        <w:t>https://mcp.opencaselaw.ch/entscheid/ge_gerichte_ACJC_412_2015</w:t>
      </w:r>
    </w:p>
    <w:p>
      <w:r>
        <w:t>FR: GE_GERICHTE ACJC/412/2015 du 13 avril 2015</w:t>
      </w:r>
    </w:p>
    <w:p>
      <w:r>
        <w:t>IT: GE_GERICHTE ACJC/412/2015 del 13 aprile 2015</w:t>
      </w:r>
    </w:p>
    <w:p>
      <w:pPr>
        <w:pStyle w:val="Heading2"/>
      </w:pPr>
      <w:r>
        <w:t>Regeste</w:t>
      </w:r>
    </w:p>
    <w:p>
      <w:r>
        <w:t>Résumé: LÉGITIMATION ACTIVE DU SOUS-BAILLEUR À AGIR EN EXPULSION CONTRE LE SOUS-LOCATAIRE Y COMPRIS À L'ÉCHÉANCE DU BAIL PRINCIPAL À l'échéance du bail de sous-location, le sous-locataire est tenu de restituer les locaux au sous-bailleur, qui répond à l'égard du propriétaire de leur libération à l'échéance du bail principal. La fin de celui-ci est sans pertinence pour juger de la légitimation active du sous-bailleur, car la demande en évacuation ne se fonde pas sur le droit de propriété mais exclusivement sur la relation contractuelle de sous-location. Le sous-bailleur est bel et bien titulaire personnellement du droit matériel allégué et conserve un intérêt juridique à agir. Il n'invoque donc pas le droit d'autrui et l'adage "nul ne plaide par procu­reur" n'est pas violé.</w:t>
      </w:r>
    </w:p>
    <w:p>
      <w:pPr>
        <w:pStyle w:val="Heading2"/>
      </w:pPr>
      <w:r>
        <w:t>Volltext</w:t>
      </w:r>
    </w:p>
    <w:p>
      <w:r>
        <w:t>Résumé: LÉGITIMATION ACTIVE DU SOUS-BAILLEUR À AGIR EN EXPULSION CONTRE LE SOUS-LOCATAIRE Y COMPRIS À L'ÉCHÉANCE DU BAIL PRINCIPAL À l'échéance du bail de sous-location, le sous-locataire est tenu de restituer les locaux au sous-bailleur, qui répond à l'égard du propriétaire de leur libération à l'échéance du bail principal. La fin de celui-ci est sans pertinence pour juger de la légitimation active du sous-bailleur, car la demande en évacuation ne se fonde pas sur le droit de propriété mais exclusivement sur la relation contractuelle de sous-location. Le sous-bailleur est bel et bien titulaire personnellement du droit matériel allégué et conserve un intérêt juridique à agir. Il n'invoque donc pas le droit d'autrui et l'adage "nul ne plaide par procu­reur" n'est pas violé.</w:t>
      </w:r>
    </w:p>
    <w:p>
      <w:r>
        <w:t>Descripteurs: Descripteurs: BAIL À LOYER ; SOUS-LOCATION ; EXPULSION DE LOCATAIRE ; LÉGITIMATION ACTIVE ET PASSIVE</w:t>
      </w:r>
    </w:p>
    <w:p>
      <w:r>
        <w:t>Normes: Normes: CO.262; CO.267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