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ACJC/409/2025 vom 25. Mai 2023</w:t>
      </w:r>
    </w:p>
    <w:p>
      <w:r>
        <w:t>GE Cour de justice, 2023-05-25, FR</w:t>
      </w:r>
    </w:p>
    <w:p>
      <w:r>
        <w:rPr>
          <w:b/>
        </w:rPr>
        <w:t xml:space="preserve">Quelle: </w:t>
      </w:r>
      <w:r>
        <w:t>https://mcp.opencaselaw.ch/entscheid/ge_gerichte_ACJC_409_2025</w:t>
      </w:r>
    </w:p>
    <w:p>
      <w:r>
        <w:t>FR: GE_GERICHTE ACJC/409/2025 du 25 mai 2023</w:t>
      </w:r>
    </w:p>
    <w:p>
      <w:r>
        <w:t>IT: GE_GERICHTE ACJC/409/2025 del 25 maggio 2023</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 Déposé dans le délai utile de trente jours à compter de la notification de la décision motivée et selon la forme prescrite par la loi (art. 130 al. 1, 131 et 311 al. 1 CPC), l'appel est recevable à ces égards.</w:t>
      </w:r>
    </w:p>
    <w:p>
      <w:r>
        <w:rPr>
          <w:b/>
        </w:rPr>
        <w:t>E. 1.3</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- 11/24 -</w:t>
      </w:r>
    </w:p>
    <w:p>
      <w:r>
        <w:t>C/14084/2021</w:t>
      </w:r>
    </w:p>
    <w:p>
      <w:r>
        <w:rPr>
          <w:b/>
        </w:rPr>
        <w:t>E. 1.4</w:t>
      </w:r>
    </w:p>
    <w:p>
      <w:r>
        <w:t>Les maximes des débats et de disposition s'appliquent (art. 55 al. 1 et 58 al. 1 CPC).</w:t>
      </w:r>
    </w:p>
    <w:p>
      <w:r>
        <w:rPr>
          <w:b/>
        </w:rPr>
        <w:t>E. 1.5</w:t>
      </w:r>
    </w:p>
    <w:p>
      <w:r>
        <w:t>Par souci de clarté, B______ sera désigné l'intimé n° 1, C______ l'intimé n° 2 et D______ l'intimé n° 3.</w:t>
      </w:r>
    </w:p>
    <w:p>
      <w:r>
        <w:rPr>
          <w:b/>
        </w:rPr>
        <w:t>E. 2</w:t>
      </w:r>
    </w:p>
    <w:p>
      <w:r>
        <w:t>décembre 2013 consid. 3.2.1).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Le renvoi au premier juge en application de l'art. 318 al. 1 let. c CPC s'impose lorsque le premier juge ne s'est pas prononcé sur une conclusion, a considéré comme non remplie une condition de recevabilité, de sorte qu'il n'a pas examiné le fond du litige, a limité la procédure à une question de fait ou de droit au sens de l'art. 125 let. a CPC ou a rendu une décision incidente et qu'il convient de</w:t>
      </w:r>
    </w:p>
    <w:p>
      <w:r>
        <w:t>- 12/24 -</w:t>
      </w:r>
    </w:p>
    <w:p>
      <w:r>
        <w:t>C/14084/2021 renvoyer pour suite d'instruction (ACJC/369/2021 du 23 mars 2021 consid. 1.2.2; ACJC/539/2016 du 22 avril 2016 consid. 2.1.3 et les références citées). L'effet cassatoire de l'appel et le renvoi à l'autorité de première instance selon l'art. 318 al. 1 let. c CPC doivent rester l'exception (ATF 137 III 617 consid. 4.3), si bien que cette disposition doit s'interpréter restrictivement (ACJC/369/2021 du 23 mars 2021 et ACJC/539/2016 du 22 avril 2016 précités).</w:t>
      </w:r>
    </w:p>
    <w:p>
      <w:r>
        <w:rPr>
          <w:b/>
        </w:rPr>
        <w:t>E. 2.2</w:t>
      </w:r>
    </w:p>
    <w:p>
      <w:r>
        <w:t>En l'espèce, il ressort clairement des procès-verbaux des audiences des 10 février et 16 mars 2023 que le Tribunal a limité les débats aux exceptions soulevées dans les mémoires de réponse des intimés, même s'il n'a pas formellement rendu une ordonnance sur le sujet. Le Tribunal ayant ensuite admis l'exception de prescription soulevée par les intimés, il a rejeté la demande de l'appelant sans examiner les conditions de la responsabilité des organes de la société, de sorte que des éléments essentiels du litige n'ont pas été instruits, ni jugés. Il en va de même de la question de l'autorité de la chose jugée, question qui est demeurée ouverte dans le jugement entrepris. Ainsi, même à supposer que la prescription ne soit pas acquise, la Cour ne serait pas en mesure de statuer sur les points essentiels précités du litige. Partant, les conclusions cassatoires formulées par l'appelant dans le cadre de son appel sont suffisantes.</w:t>
      </w:r>
    </w:p>
    <w:p>
      <w:r>
        <w:rPr>
          <w:b/>
        </w:rPr>
        <w:t>E. 3</w:t>
      </w:r>
    </w:p>
    <w:p>
      <w:r>
        <w:t>Les intimés contestent la recevabilité de certains allégués de l'appel.</w:t>
      </w:r>
    </w:p>
    <w:p>
      <w:r>
        <w:rPr>
          <w:b/>
        </w:rPr>
        <w:t>E. 3.1</w:t>
      </w:r>
    </w:p>
    <w:p>
      <w:r>
        <w:t>La Cour examine d'office la recevabilité des faits et moyens de preuve nouveaux en appel (REETZ/HILBER, Kommentar zur Schweizerischen Zivilprozessordnung [ZPO], 3ème éd., 2016, n. 26 ad art. 317 CPC).</w:t>
      </w:r>
    </w:p>
    <w:p>
      <w:r>
        <w:rPr>
          <w:b/>
        </w:rPr>
        <w:t>E. 3.1.1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w:t>
      </w:r>
    </w:p>
    <w:p>
      <w:r>
        <w:t>- 13/24 -</w:t>
      </w:r>
    </w:p>
    <w:p>
      <w:r>
        <w:t>C/14084/2021 amène tous les éléments propres à établir les faits jugés importants (arrêts du Tribunal fédéral 5A_756/2017 du 6 novembre 2017 consid. 3.3; 5A_445/2014 du 28 août 2014 consid. 2.1; 4A_334/2012 du 16 octobre 2012 consid. 3.1). La prise en considération de pseudo nova est admissible en procédure d'appel lorsque seule la lecture du jugement attaqué leur confère une pertinence (arrêt du Tribunal fédéral 4A_540/2014 du 18 mars 2015 consid. 3.1), lorsqu'une thématique est abordée pour la première fois (arrêts du Tribunal fédéral 5A_697/2020 du 22 mars 2021 consid. 3; 4A_360/2017 du 30 novembre 2017 consid. 8.1; 4A_305/2012 du 6 février 2013 consid. 3.3) ou lorsque le comportement de la partie adverse en première instance a permis de croire qu'il n'était pas nécessaire de les présenter (arrêts du Tribunal fédéral 5A_697/2020 du 22 mars 2021 consid. 3; 5A_621/2012 du 20 mars 2013 consid. 5.4).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w:t>
      </w:r>
    </w:p>
    <w:p>
      <w:r>
        <w:rPr>
          <w:b/>
        </w:rPr>
        <w:t>E. 3.1.2</w:t>
      </w:r>
    </w:p>
    <w:p>
      <w:r>
        <w:t>Conformément à la maxime des débats (art. 55 al. 1 CPC), applicable au présent litige (cf. consid. 1.3),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La personne de l'alléguant importe peu : il suffit que les faits fassent partie du cadre du procès pour que le juge puisse en tenir compte (arrêt du Tribunal fédéral 4A_164/2021 du 21 décembre 2021 consid. 3.1).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w:t>
      </w:r>
    </w:p>
    <w:p>
      <w:r>
        <w:t>- 14/24 -</w:t>
      </w:r>
    </w:p>
    <w:p>
      <w:r>
        <w:t>C/14084/2021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in JdT 2011 II 537; 127 III 365 consid. 2b; CHABLOZ, Petit commentaire CPC, 2020, n. 5 à 7 ad art. 55 CPC).</w:t>
      </w:r>
    </w:p>
    <w:p>
      <w:r>
        <w:rPr>
          <w:b/>
        </w:rPr>
        <w:t>E. 3.2</w:t>
      </w:r>
    </w:p>
    <w:p>
      <w:r>
        <w:t>En l'espèce, l'appelant allègue dans la partie "RAPPEL DES FAITS" de son mémoire d'appel une série de faits anciens (pseudo nova) dont il ne ressort pas du dossier qu'il les aurait allégués en première instance (allégués n° 19, 21 [1er et 3e tirets], 22 et 27 à 31). Il n'explique pas à la Cour la raison pour laquelle il aurait été empêché de le faire. Ces allégués complètent ceux de la demande, notamment en réponse à l'exception de prescription soulevée par les intimés dans leurs mémoires de réponse, de sorte qu'ils auraient dû être formés en première instance, leur nécessité étant apparue à la lecture des mémoires de réponse des intimés. Or, l'appelant a non seulement disposé d'un délai en première instance pour se déterminer sur lesdits mémoires mais aussi d'une audience de débats sur exceptions. Il aurait pu saisir ces occasions pour alléguer ces faits nouveaux ou demander à pouvoir le faire. Il a d'ailleurs allégué quelques faits complémentaires dans ses déterminations du 24 février 2023, lesquels sont toutefois sans lien avec ceux nouvellement allégués en appel. Le fait que le Tribunal ait précisé, lors de l'audience de débats d'instruction du 10 février 2023, que les déterminations des parties devaient se limiter à "admis/contestés" ne saurait être invoqué par l'appelant pour expliquer l'absence d'allégation, en première instance, des faits pertinents pour les exceptions litigieuses, nouvellement allégués en appel. Cette injonction du premier juge ne l'a d'ailleurs pas empêché d'apporter des précisions factuelles dans ses déterminations du 24 février 2023, de sorte qu'il ne saurait se prévaloir de sa bonne foi à ce propos. A cela s'ajoute qu'il ne ressort du procès- verbal de l'audience de plaidoirie du 16 mars 2023 aucune tentative d'allégation complémentaire ni demande à pouvoir compléter les allégués; les conseils des parties ont, au contraire, constaté que la cause était en état d'être plaidée sur exceptions. Partant, les allégués précités sont irrecevables. En revanche, les allégués n° 13 et 24 constituent des conclusions ou reformulations d'allégués qui ont été présentés devant le premier juge. Ils ne sont dès lors pas nouveaux et figurent déjà à la procédure de sorte que la question de leur recevabilité en appel ne se pose pas. L'allégué n° 20 de l'appel a été apporté par l'intimé n° 3 dans le cadre de sa réponse en première instance (allégué n° 55 de la réponse). Dans la mesure où la</w:t>
      </w:r>
    </w:p>
    <w:p>
      <w:r>
        <w:t>- 15/24 -</w:t>
      </w:r>
    </w:p>
    <w:p>
      <w:r>
        <w:t>C/14084/2021 personne de l'alléguant importe peu, cet allégué n'est pas nouveau et figurait par conséquent déjà à la procédure, de sorte que la question de sa recevabilité en appel ne se pose pas non plus. Les allégués n° 35 et 36 décrivent des actes de procédure dans la cause C/4______/2019 connus de toutes les parties, ils ne constituent par conséquent pas des faits nouveaux et sont notoires, de sorte qu'ils sont recevables. Pour le surplus, les allégués figurant dans le "RAPPEL DES FAITS" sont des reformulations d'allégués présentés devant le Tribunal, de sorte qu'ils ne constituent pas des faits nouvellement allégués en appel et la question de leur recevabilité en appel ne se pose pas.</w:t>
      </w:r>
    </w:p>
    <w:p>
      <w:r>
        <w:rPr>
          <w:b/>
        </w:rPr>
        <w:t>E. 4</w:t>
      </w:r>
    </w:p>
    <w:p>
      <w:r>
        <w:t>Les parties reprochent au Tribunal d'avoir procédé à une constatation inexacte des faits sur plusieurs points. L'état de fait présenté ci-dessus a donc été rectifié et complété dans la mesure nécessaire, sur la base des actes et pièces recevables figurant à la procédure.</w:t>
      </w:r>
    </w:p>
    <w:p>
      <w:r>
        <w:rPr>
          <w:b/>
        </w:rPr>
        <w:t>E. 5</w:t>
      </w:r>
    </w:p>
    <w:p>
      <w:r>
        <w:t>février 2019 consid. 2). Ainsi, lorsque l'art. 97 al. 1 CO autorise le lésé à exiger de la personne morale la réparation de son dommage, la dette correspondante diminue le patrimoine de la société, de sorte que celle-ci subit elle aussi un dommage par suite du comportement de ses administrateurs (cf. ATF 141 III 112 consid. 5.3.2, où le Tribunal fédéral a retenu un dommage subi cumulativement par le salarié d'une société anonyme et par cette société, dommage dont l'organe était responsable). Il s'agit dans ce cas d'une situation où, selon la jurisprudence susmentionnée, le créancier social ne peut agir sur la base de l'art. 754 al. 1 CO que si le dommage résulte d'un acte illicite aux termes de l'art. 41 CO, d'une culpa in contrahendo, ou de la violation d'une règle du droit de la société anonyme destinée exclusivement à la protection des créanciers.</w:t>
      </w:r>
    </w:p>
    <w:p>
      <w:r>
        <w:rPr>
          <w:b/>
        </w:rPr>
        <w:t>E. 5.1</w:t>
      </w:r>
    </w:p>
    <w:p>
      <w:r>
        <w:t>A teneur de l'art. 810 al. 2 CO, les gérants d'une SARL ont les compétences intransmissibles et inaliénables notamment d'exercer la surveillance sur les personnes chargées de parties de la gestion (ch. 4), d'établir le rapport de gestion (comptes annuels, rapport annuel) (ch. 5) et d'informer le juge en cas de surendettement de la société (ch. 7). Selon l'art. 827 CO,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Cette disposition renvoie aux art. 752 à 760 CO (CORBOZ/AUBRY GIRARDIN, Commentaire romand, Code des obligations II, 2ème éd., 2017, n. 15 ad art. 827 CO).</w:t>
      </w:r>
    </w:p>
    <w:p>
      <w:r>
        <w:rPr>
          <w:b/>
        </w:rPr>
        <w:t>E. 5.1.1</w:t>
      </w:r>
    </w:p>
    <w:p>
      <w:r>
        <w:t>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En ce qui concerne la qualité pour agir du créancier social, la jurisprudence distingue trois éventualités (arrêt du Tribunal fédéral 4A_407/2018 du 5 février 2019 consid. 2) : 1°) D'abord, le créancier peut être lésé à titre personnel par le comportement des organes, à l'exclusion de tout dommage causé à la société (ATF 141 III 112</w:t>
      </w:r>
    </w:p>
    <w:p>
      <w:r>
        <w:t>- 16/24 -</w:t>
      </w:r>
    </w:p>
    <w:p>
      <w:r>
        <w:t>C/14084/2021 consid. 5.2.1; 132 III 564 consid. 3.1.1); l'action n'est alors soumise à aucune restriction (ATF 131 III 306 consid. 3.1.2). La doctrine cite à titre d'exemple de dommage direct à un créancier social, exclusif d'un dommage à la société, le cas où une personne consent, sur la base d'un bilan inexact, un prêt pour un taux usuel à une société en grande difficulté. Dans une telle hypothèse, la société reçoit un actif qui correspond au passif créé et on peut même considérer qu'elle est avantagée sur le plan économique, puisque les fonds mis à sa disposition lui apportent un ballon d'oxygène qui pourrait peut- être lui permettre de surmonter ses difficultés (CORBOZ/AUBRY GIRARDIN, op. cit., n. 62 ad art. 754 CO). 2°) Ensuite, le créancier peut être lésé parce que la société subit un dommage causé par le comportement fautif de l'organe; ce créancier ne subit alors qu'un dommage indirect ou réfléchi et il n'a pas qualité pour agir tant que la société demeure solvable; c'est dans sa faillite, seulement, que la communauté des créanciers peut poursuivre l'organe (ATF 141 III 112 consid. 5.2.2; 132 III 564 consid. 3.1.2; 131 III 306 consid. 3.1.1). 3°) Enfin, le créancier et la société peuvent être l'un et l'autre lésés; dans ce cas, pour éviter la compétition de leurs actions respectives lors de la faillite de la société, la jurisprudence a posé que le créancier ne peut qu'exceptionnellement agir en réparation de son dommage direct, et ceci lorsque le comportement de l'organe était illicite aux termes de l'art. 41 CO, constituait une culpa in contrahendo, ou violait des règles du droit des sociétés destinées exclusivement à la protection des créanciers (ATF 141 III 112 consid. 5.2.2; 132 III 564 consid. 3.1.3; 131 III 306 consid. 3.1.2; arrêt du Tribunal fédéral 4A_407/2018 du</w:t>
      </w:r>
    </w:p>
    <w:p>
      <w:r>
        <w:rPr>
          <w:b/>
        </w:rPr>
        <w:t>E. 5.1.2</w:t>
      </w:r>
    </w:p>
    <w:p>
      <w:r>
        <w:t>Aux termes de l'art. 760 al. 1 CO – dans sa teneur en vigueur en 2016 applicable au cas d'espèce (art. 1 et 49 Tit. fin. CC; art. 1 al. 1 et 2 des dispositions transitoires de la modification du 19 juin 2020 du CO) – les actions en responsabilité régies par les dispositions qui précèdent se prescrivent par cinq ans</w:t>
      </w:r>
    </w:p>
    <w:p>
      <w:r>
        <w:t>- 17/24 -</w:t>
      </w:r>
    </w:p>
    <w:p>
      <w:r>
        <w:t>C/14084/2021 à compter du jour où la partie lésée a eu connaissance du dommage ainsi que de la personne responsable et, dans tous les cas, par dix ans à compter du jour où le fait dommageable s'est produit. Si les dommages-intérêts dérivent d'une infraction soumise par les lois pénales à une prescription de plus longue durée, cette prescription s'applique à l'action civile (art. 760 al. 2 CO, teneur en vigueur en 2016). L'art. 760 CO régit, en tant que disposition spéciale, le délai et le point de départ de la prescription. Pour le reste (notamment la suspension et l'interruption du délai), la prescription est soumise aux règles générales de l'art. 132 à 142 CO (CORBOZ/AUBRY GIRARDIN, op. cit., n. 1 ad art. 760 CO). Le champ d'application de l'art. 760 CO s'étend à tous les cas de responsabilité visés par les art. 752 à 755 CO, à l'action individuelle du créancier social ou de l'actionnaire pour le dommage direct qu'il a subi résultant notamment d'un acte illicite ou d'une culpa in contrahendo, à l'action sociale exercée par la société ou par un actionnaire (art. 756 CO), ou encore à l'action de la communauté des créanciers, qu'elle soit exercée par l'administration de la faillite, un créancier social ou un actionnaire (art. 757 CO). L'art. 760 CO régit de manière exclusive la prescription dans ces cas de figure (CORBOZ/AUBRY GIRARDIN, op. cit., n. 3 ad art. 760 CO). La connaissance du dommage est une notion figurant notamment à l'art. 60 al. 1 CO (dans sa teneur avant le 1er janvier 2020), de sorte que l'on peut se référer à la jurisprudence rendue en rapport avec cette disposition.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Le dommage est tenu pour suffisamment défini lorsque le lésé détient assez d'éléments pour être en mesure de l'apprécier.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(arrêt du Tribunal fédéral 4A_647/2010 du 4 avril 2011 consid. 3.1). Le délai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S'il connaît les éléments essentiels du dommage, on peut</w:t>
      </w:r>
    </w:p>
    <w:p>
      <w:r>
        <w:t>- 18/24 -</w:t>
      </w:r>
    </w:p>
    <w:p>
      <w:r>
        <w:t>C/14084/2021 attendre de lui qu'il se procure les informations complémentaires nécessaires à l'ouverture d'une action (arrêts du Tribunal fédéral 6B_1015/2020 du 16 décembre 2021 consid. 2.1.1; 4A_362/2020 du 22 janvier 2021 consid. 4.1.1). Quant à la connaissance de la personne, auteur du dommage, elle n'est pas acquise dès l'instant où le lésé présume que la personne en cause pourrait devoir réparer le dommage, mais seulement lorsqu'il connaît les faits qui fondent son obligation de réparer; en revanche, il n'est pas nécessaire qu'il connaisse également le fondement juridique de ce devoir; en effet, l'erreur de droit – qu'elle soit excusable ou non – n'empêche pas le cours de la prescription (ATF 131 III 61, consid. 3.1.2; 82 II 43 consid. 1a; arrêts du Tribunal fédéral 4A_362/2020 du 22 janvier 2021 consid. 4.1.1; 4C_182/2004 du 23 août 2004 consid. 5.2.1; 4C_234/1999 du 12 janvier 2000 consid. 5c/cc).</w:t>
      </w:r>
    </w:p>
    <w:p>
      <w:r>
        <w:rPr>
          <w:b/>
        </w:rPr>
        <w:t>E. 5.1.3</w:t>
      </w:r>
    </w:p>
    <w:p>
      <w:r>
        <w:t>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arrêt du Tribunal fédéral 4A_317/2021 du 12 octobre 2021 consid. 3). Il appartient au débiteur d'alléguer et de prouver les faits qui sous-tendent la prescription. Le créancier peut opposer le fait que la prescription a été empêchée, suspendue ou interrompue. Il s'agit d'un fait dirimant qu'il appartient au créancier d'alléguer et de prouver (GROBETY, La suspension conventionnelle de la prescription et sa mise en œuvre procédurale, in PJA 2021 p. 720, p. 723; cf. arrêt du Tribunal fédéral 4A_487/2018 du 30 janvier 2019 consid. 4.3.1).</w:t>
      </w:r>
    </w:p>
    <w:p>
      <w:r>
        <w:rPr>
          <w:b/>
        </w:rPr>
        <w:t>E. 5.1.4</w:t>
      </w:r>
    </w:p>
    <w:p>
      <w:r>
        <w:t>Selon l'art. 142 CO, le juge ne peut suppléer d'office le moyen résultant de la prescription. Le devoir d'allégation appartenant aux parties, le juge n'a pas à se préoccuper d'une inadvertance ou d'une erreur de droit des parties. Le juge doit cependant éclaircir par ses questions les faits encore obscurs, pour autant que ceux-ci entrent dans le cadre des allégations faites par les parties (art. 56 CPC) (PICHONNAZ, Commentaire romand, Code des obligations I, 3ème éd., 2021, n. 5 ad art. 142 CO).</w:t>
      </w:r>
    </w:p>
    <w:p>
      <w:r>
        <w:rPr>
          <w:b/>
        </w:rPr>
        <w:t>E. 5.1.5</w:t>
      </w:r>
    </w:p>
    <w:p>
      <w:r>
        <w:t>Lorsque la maxime des débats est applicable (art. 55 al. 1 CPC), il incombe aux parties, et non au juge, de rassembler les faits du procès (ATF 123 III 60 consid. 3a; arrêt du Tribunal fédéral 4A_555/2015 du 18 mars 2016 consid. 2.3).</w:t>
      </w:r>
    </w:p>
    <w:p>
      <w:r>
        <w:t>- 19/24 -</w:t>
      </w:r>
    </w:p>
    <w:p>
      <w:r>
        <w:t>C/14084/2021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(ATF 144 III 519 consid. 5.2.1.1).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w:t>
      </w:r>
    </w:p>
    <w:p>
      <w:r>
        <w:t>- 20/24 -</w:t>
      </w:r>
    </w:p>
    <w:p>
      <w:r>
        <w:t>C/14084/2021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5.3; 4A_155/2014 du 5 août 2014 consid. 7.4). Les moyens de preuve proposés (art. 221 al. 1 let. e CPC) doivent être indiqués à l'appui de chaque allégué de fait (ATF 144 III 519 consid. 5.2.1.2).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précité consid. 4.3 in fine).</w:t>
      </w:r>
    </w:p>
    <w:p>
      <w:r>
        <w:rPr>
          <w:b/>
        </w:rPr>
        <w:t>E. 5.1.6</w:t>
      </w:r>
    </w:p>
    <w:p>
      <w:r>
        <w:t>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(arrêt du Tribunal fédéral 4A_283/2008 du 12 septembre 2008 consid. 6, non publié aux ATF 134 III 541). Il ne faut pas confondre l'absence de contestation (motivée) par le défendeur d'un fait déjà allégué par le demandeur et sa conséquence, qui est l'admission du fait (art. 150 al. 1 CPC), avec l'existence d'un fait implicite, qui ne doit être allégué et prouvé par le demandeur qu'après que le défendeur l'a contesté (ATF 144 III 519 consid. 5.3.2).</w:t>
      </w:r>
    </w:p>
    <w:p>
      <w:r>
        <w:rPr>
          <w:b/>
        </w:rPr>
        <w:t>E. 5.2</w:t>
      </w:r>
    </w:p>
    <w:p>
      <w:r>
        <w:t>En l'espèce, il n'est pas contesté que la question de la prescription doit être examinée à la lumière de l'art. 760 CO, aucune infraction pénale n'entrant en considération. Il est également établi que l'action intentée par l'appelant se fonde sur un dommage direct qu'il aurait subi, causé par le comportement des organes de</w:t>
      </w:r>
    </w:p>
    <w:p>
      <w:r>
        <w:t>- 21/24 -</w:t>
      </w:r>
    </w:p>
    <w:p>
      <w:r>
        <w:t>C/14084/2021 la société. La durée du délai de prescription de cinq ans n'est pas non plus contestée. La question litigieuse est limitée à la détermination du dies a quo du délai de prescription. Pour répondre à cette question, les intimés – auxquels incombait le fardeau de l'allégation et de la motivation s'agissant des faits fondant l'exception de prescription – devaient alléguer le moment où l'appelant avait eu une connaissance effective du dommage et non seulement, comme ils l'ont fait, le moment de la survenance du dommage, le premier ne pouvant être considéré comme un fait implicite du second. En effet, les intimés n° 1 et 2 n'ont allégué que le fait que "La Banque a finalement débité le compte de [l'appelent] d'un montant de CHF 428'069.- le 13 juillet 2016, conformément à l'acte de nantissement et déclaration de cession concédé par ce dernier" (allégué n° 65), sans dire un mot du moment de la connaissance par l'appelant de ce débit. Le fait que la banque avait annoncé le 6 juillet 2016 à l'appelant que son compte serait débité prochainement n'est pas suffisant pour admettre que l'appelant avait eu une connaissance effective du débit au moment dudit débit. Le Tribunal ne pouvait ainsi pas retenir un fait qui n'avait pas été allégué. A cela s'ajoute que, contrairement à ce qu'a retenu le premier juge, il ne ressort pas "clairement" du dossier que l'appelant connaissait l'intégralité de son dommage le 13 juillet 2016, date du versement en faveur de la société. En effet, aucun avis de débit adressé à l'appelant par la banque n'a été produit par les parties. Le témoin O______ n'a fait que confirmer que le débit du compte de l'appelant avait eu lieu le 13 juillet 2016 et ni lui ni le témoin N______ n'a affirmé que l'appelant avait eu connaissance du débit au moment de son exécution. Les intimés ont certes requis que l'appelant et/ou la banque apporte la preuve du débit du compte de l'appelant. Or, même si cette pièce avait été produite, elle n'aurait pas permis de déterminer la date à laquelle l'appelant avait eu connaissance du débit de son compte. En effet, la pièce n'étant pas déterminée, il pouvait essentiellement s'agir du relevé de compte du 27 juillet 2016 dans sa version détaillée et celui-ci n'aurait pas pu prouver la date de la connaissance effective de ce débit par l'appelant. De surcroît, les relevés de compte produits par les parties ne sont ni clairs ni cohérents. Selon celui produit par les intimés n° 1 et 2 et daté du 27 juillet 2016, un débit a eu lieu le 13 juillet 2016 d'un montant caviardé intitulé "Virement F______ SARL", le solde d'avoirs en compte étant de 136'264 fr. 97 aux 13 et au 27 juillet 2016. En revanche, selon la page de synthèse du relevé produit par l'appelant et également daté du 27 juillet 2016, le solde du compte s'élevait, au 26 juillet 2016, à 135'277 fr. et la date du débit de 472'763 fr. ne ressort pas de cette pièce.</w:t>
      </w:r>
    </w:p>
    <w:p>
      <w:r>
        <w:t>- 22/24 -</w:t>
      </w:r>
    </w:p>
    <w:p>
      <w:r>
        <w:t>C/14084/2021 Enfin, il ne peut être retenu que l'appelant aurait judiciairement admis avoir eu connaissance de son dommage le 13 juillet 2016 puisque les intimés n'ont pas allégué ce fait alors que le fardeau de l'allégation leur appartenait. Au demeurant, dans sa demande en paiement du 12 décembre 2019 dans la cause C/4______/2019, l'appelant a fait valoir que son dommage correspondait "à la somme qui a[vait] été débitée sauvagement et en violation des devoirs de diligence et de fidélité, de son compte bancaire en juillet 2016" dont il avait eu connaissance "en juillet 2016, lorsque son compte a[vait] été débité […]", sans donc préciser la date exacte à laquelle le débit avait été effectué. Dans la présente procédure, il a allégué que le débit de son compte avait été effectué le 27 juillet 2016, l'allégué précité ne permet pas non plus de démontrer que l'appelant aurait eu connaissance de son dommage le 13 juillet 2016 et non le 27 juillet 2016. Compte tenu des éléments qui précèdent, faute d'allégation suffisante, la prescription n'est pas acquise. Dès lors, le jugement entrepris sera annulé. Il sera statué à nouveau dans le sens que l'exception de prescription est rejetée et la cause renvoyée au Tribunal pour instruction et décision sur le fond.</w:t>
      </w:r>
    </w:p>
    <w:p>
      <w:r>
        <w:rPr>
          <w:b/>
        </w:rPr>
        <w:t>E. 6.1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w:t>
      </w:r>
    </w:p>
    <w:p>
      <w:r>
        <w:rPr>
          <w:b/>
        </w:rPr>
        <w:t>E. 6.2</w:t>
      </w:r>
    </w:p>
    <w:p>
      <w:r>
        <w:t>En l'espèce, la quotité et la répartition des frais de première instance ne sont pas critiqués par les parties. La cause étant renvoyée au Tribunal pour instruction complémentaire et nouvelle décision, il se justifie toutefois d'annuler le jugement entrepris également sur ce point et d'inviter le Tribunal à statuer à nouveau sur la question des frais dans le cadre de la décision qu'il rendra.</w:t>
      </w:r>
    </w:p>
    <w:p>
      <w:r>
        <w:rPr>
          <w:b/>
        </w:rPr>
        <w:t>E. 7.1</w:t>
      </w:r>
    </w:p>
    <w:p>
      <w:r>
        <w:t>Les frais judiciaires d'appel seront arrêtés à 6'000 fr. (art. 7, 13, 17 et 35 RTFMC) et mis à la charge des intimés, qui succombent (art. 95 al. 1 let. a et al. 2, 96, 104 al. 1, 105 al. 1 et 106 al. 1 CPC). Ils seront compensés avec l'avance de frais, d'un montant correspondant, fournie par l'appelant, laquelle reste acquise à l'Etat de Genève (art. 111 al. 1 CPC). Ils seront en conséquence condamnés, solidairement entre eux, à verser la somme de 6'000 fr. à l'appelant au titre de remboursement de l'avance de frais.</w:t>
      </w:r>
    </w:p>
    <w:p>
      <w:r>
        <w:rPr>
          <w:b/>
        </w:rPr>
        <w:t>E. 7.2</w:t>
      </w:r>
    </w:p>
    <w:p>
      <w:r>
        <w:t>Les intimés seront condamnés à verser des dépens d'appel de 6'000 fr. à l'appelant (art. 95 al. 1 let. b et al. 3, 96, 104 al. 1, 105 al. 2, 106 al. 1 et 111 al. 2 CPC; art. 84, 85 et 90 RTFMC). * * * * *</w:t>
      </w:r>
    </w:p>
    <w:p>
      <w:r>
        <w:t>- 23/24 -</w:t>
      </w:r>
    </w:p>
    <w:p>
      <w:r>
        <w:t>C/14084/2021 PAR CES MOTIFS, La Chambre civile : A la forme : Déclare recevable l'appel interjeté le 26 juin 2023 par A______ contre le jugement JTPI/6022/2023 rendu le 25 mai 2023 par le Tribunal de première instance dans la cause C/14084/2021. Au fond : Annule le jugement entrepris. Rejette l'exception de prescription soulevée par B______, C______ et D______. Renvoie la cause au Tribunal de première instance pour la suite de la procédure et nouvelle décision. Sur les frais d'appel : Arrête les frais judiciaires d'appel à 6'000 fr., les met à la charge de B______, C______ et D______, solidairement entre eux, et les compense avec l'avance de frais de même montant fournie par A______ qui reste acquise à l'Etat de Genève. Condamne B______, C______ et D______, solidairement entre eux, à verser à A______ 6'000 fr. à titre de remboursement des frais judiciaires d'appel et 6'000 fr. à titre de dépens d'appel. Siégeant : Madame Ursula ZEHETBAUER GHAVAMI, présidente; Madame Sylvie DROIN, Monsieur Jean REYMOND, juges; Madame Sandra CARRIER, greffière.</w:t>
      </w:r>
    </w:p>
    <w:p>
      <w:r>
        <w:t>La présidente : Ursula ZEHETBAUER GHAVAMI</w:t>
      </w:r>
    </w:p>
    <w:p>
      <w:r>
        <w:t>La greffière : Sandra CARRIER</w:t>
      </w:r>
    </w:p>
    <w:p>
      <w:r>
        <w:t>- 24/24 -</w:t>
      </w:r>
    </w:p>
    <w:p>
      <w:r>
        <w:t>C/14084/2021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