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ACJC/408/2024 vom 13. Juli 2023</w:t>
      </w:r>
    </w:p>
    <w:p>
      <w:r>
        <w:t>GE Cour de justice, 2023-07-13, FR</w:t>
      </w:r>
    </w:p>
    <w:p>
      <w:r>
        <w:rPr>
          <w:b/>
        </w:rPr>
        <w:t xml:space="preserve">Quelle: </w:t>
      </w:r>
      <w:r>
        <w:t>https://mcp.opencaselaw.ch/entscheid/ge_gerichte_ACJC_408_2024</w:t>
      </w:r>
    </w:p>
    <w:p>
      <w:r>
        <w:t>FR: GE_GERICHTE ACJC/408/2024 du 13 juillet 2023</w:t>
      </w:r>
    </w:p>
    <w:p>
      <w:r>
        <w:t>IT: GE_GERICHTE ACJC/408/2024 del 13 luglio 2023</w:t>
      </w:r>
    </w:p>
    <w:p>
      <w:pPr>
        <w:pStyle w:val="Heading2"/>
      </w:pPr>
      <w:r>
        <w:t>Erwägungen</w:t>
      </w:r>
    </w:p>
    <w:p>
      <w:r>
        <w:rPr>
          <w:b/>
        </w:rPr>
        <w:t>E. 1.1</w:t>
      </w:r>
    </w:p>
    <w:p>
      <w:r>
        <w:t>Interjeté dans le délai utile et suivant la forme prescrite par la loi (art. 130, 131, 142, 143 et 311 al. 1 CPC) à l’encontre d’une décision finale de première instance, rendue dans un litige dont la valeur litigieuse au dernier état des conclusions est supérieure à 10'000 fr. (art. 91 ss et 308 al. 2 CPC), l’appel est recevable.</w:t>
      </w:r>
    </w:p>
    <w:p>
      <w:r>
        <w:rPr>
          <w:b/>
        </w:rPr>
        <w:t>E. 1.2</w:t>
      </w:r>
    </w:p>
    <w:p>
      <w:r>
        <w:t>La Cour revoit la cause avec un plein pouvoir d’examen (art. 310 CPC). Elle applique la maxime des débats et le principe de disposition (art. 55 al. 1 et 58 al. 1 CPC).</w:t>
      </w:r>
    </w:p>
    <w:p>
      <w:r>
        <w:rPr>
          <w:b/>
        </w:rPr>
        <w:t>E. 2</w:t>
      </w:r>
    </w:p>
    <w:p>
      <w:r>
        <w:t>L'intimée conteste la recevabilité des allégués de l'appelant relatifs à l'état d'ébriété du conducteur du véhicule responsable de l'accident et sollicite que des preuves soient fournies à cet égard. L'appelant offre de prouver ses allégués par témoins.</w:t>
      </w:r>
    </w:p>
    <w:p>
      <w:r>
        <w:t>- 5/9 -</w:t>
      </w:r>
    </w:p>
    <w:p>
      <w:r>
        <w:t>C/17048/2022</w:t>
      </w:r>
    </w:p>
    <w:p>
      <w:r>
        <w:rPr>
          <w:b/>
        </w:rPr>
        <w:t>E. 2.1.1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de moyens de preuve déjà existants lors de la fin des débats principaux de démontrer qu'il a agi avec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et 5A_739/2012 du 17 mai 2013 consid. 9.2.2).</w:t>
      </w:r>
    </w:p>
    <w:p>
      <w:r>
        <w:rPr>
          <w:b/>
        </w:rPr>
        <w:t>E. 2.1.2</w:t>
      </w:r>
    </w:p>
    <w:p>
      <w:r>
        <w:t>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w:t>
      </w:r>
    </w:p>
    <w:p>
      <w:r>
        <w:rPr>
          <w:b/>
        </w:rPr>
        <w:t>E. 2.2</w:t>
      </w:r>
    </w:p>
    <w:p>
      <w:r>
        <w:t>En l'espèce, il résulte des écritures de première instance, bien que particulièrement confuses, que l'appelant avait évoqué à plusieurs reprises que le conducteur du véhicule qui a causé l'accident du 7 septembre 2008 se trouvait en état d'ébriété. Il ne s'agit donc pas d'un fait nouvellement allégué en appel.</w:t>
      </w:r>
    </w:p>
    <w:p>
      <w:r>
        <w:t>Cela étant, cet allégué n'était accompagné d'aucune preuve ou offre de preuve en première instance.</w:t>
      </w:r>
    </w:p>
    <w:p>
      <w:r>
        <w:t>En dehors du fait que les offres de preuve fournies à cet égard en deuxième instance sont tardives, elles devraient de toute manière être rejetées, puisque la question d'un éventuel état d'ébriété du conducteur du véhicule est sans incidence sur l'issue du présent litige (cf. consid. 3.2 ci-dessous).</w:t>
      </w:r>
    </w:p>
    <w:p>
      <w:r>
        <w:rPr>
          <w:b/>
        </w:rPr>
        <w:t>E. 3</w:t>
      </w:r>
    </w:p>
    <w:p>
      <w:r>
        <w:t>Est litigieux le délai de prescription applicable aux prétentions de l'appelant contre B______ en relation avec l'accident de la route dont il a été victime en 2008.</w:t>
      </w:r>
    </w:p>
    <w:p>
      <w:r>
        <w:rPr>
          <w:b/>
        </w:rPr>
        <w:t>E. 3.1</w:t>
      </w:r>
    </w:p>
    <w:p>
      <w:r>
        <w:t>Selon l'art. 83 de la Loi sur la circulation routière (aLCR) dans sa version antérieure au nouveau droit de la prescription entré en vigueur le 1er janvier 2020 (cf. art. 49 al. 1 Tit. fin. CC), les actions en dommages-intérêts et en réparation du tort moral relatives à des accidents impliquant des véhicules automobiles, des cycles ou des engins assimilés à des véhicules se prescrivent par 2 ans à compter du jour où le lésé a eu connaissance du dommage et de la personne tenue à réparation, mais en tout cas par 10 ans à compter du jour de l'accident. Toutefois, si les dommages-intérêts dérivent d'un acte punissable soumis par les lois pénales</w:t>
      </w:r>
    </w:p>
    <w:p>
      <w:r>
        <w:t>- 6/9 -</w:t>
      </w:r>
    </w:p>
    <w:p>
      <w:r>
        <w:t>C/17048/2022 à une prescription de plus longue durée, cette prescription s'applique à l'action civile (al. 1). Lorsque la prescription est interrompue à l'égard de la personne responsable, elle l'est aussi à l'égard de l'assureur, et vice versa (al. 2). Les recours entre les personnes civilement responsables d'un accident impliquant des véhicules automobiles, des cycles ou des engins assimilés à des véhicules et les autres recours prévus par la présente loi se prescrivent par 2 ans à compter du jour où la prestation a été complètement effectuée et le responsable connu (al. 3). Pour le reste, le code des obligations est applicable (al. 4). La connaissance du dommage est une notion figurant notamment à l'art. 60 al. 1 CO (dans sa teneur avant le 1er janvier 2020), de sorte que l'on peut se référer à la jurisprudence rendue en rapport avec cette disposition. Le lésé connaît suffisamment le dommage lorsqu'il apprend, relativement à son existence, sa nature et ses éléments, les circonstances propres à fonder et à motiver une demande en justice. Le lésé n'est pas admis à différer sa demande jusqu'au moment où il connaît le montant absolument exact de son préjudice, car le dommage peut devoir être estimé selon l'art. 42 al. 2 CO. Le dommage est tenu pour suffisamment défini lorsque le lésé détient assez d'éléments pour être en mesure de l'apprécier.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(arrêt du Tribunal fédéral 4A_647/2010 du 4 avril 2011 consid. 3.1). Le délai de dix ans court dès le jour du fait dommageable, indépendamment du fait que le lésé ait connaissance, à ce moment-là, du dommage et de la personne tenue de la réparer. Cela signifie qu'il peut arriver que l'action se prescrive avant que le lésé ait connaissance de son droit (WERRO/PERRITAZ, in Commentaire romand, Code civil I, 2021, n. 25 ad art. 60 CO).</w:t>
      </w:r>
    </w:p>
    <w:p>
      <w:r>
        <w:rPr>
          <w:b/>
        </w:rPr>
        <w:t>E. 3.1.1</w:t>
      </w:r>
    </w:p>
    <w:p>
      <w:r>
        <w:t>En prévoyant l'application de la prescription pénale si elle est de plus longue durée, le législateur a voulu éviter que le lésé ne puisse plus agir contre le responsable à un moment où celui-ci pourrait encore faire l'objet d'une procédure pénale dont les conséquences sont en principe plus lourdes pour lui. La prescription pénale plus longue doit aussi être appliquée à l'action que le lésé a le droit d'intenter directement à l'assureur en responsabilité civile de l'auteur de l'infraction, en vertu de l'art. 65 al. 1 LCR (ATF 137 III 481 consid. 2.3 et les réf. citées). Pour que la prescription pénale entre en considération en vertu de l'art. 83 al. 1 LCR, il faut que les prétentions civiles résultent, avec causalité naturelle et adéquate, d'un comportement du responsable qui constitue, d'un point de vue objectif et subjectif, une infraction pénale prévue par une norme ayant notamment pour but de protéger le lésé (ATF 137 III 481 consid. 2.4 et les réf. citées).</w:t>
      </w:r>
    </w:p>
    <w:p>
      <w:r>
        <w:t>- 7/9 -</w:t>
      </w:r>
    </w:p>
    <w:p>
      <w:r>
        <w:t>C/17048/2022 L'application du délai de prescription pénale à l'action civile ne suppose pas qu'une poursuite pénale ait été engagée, voire une plainte déposée, ni à plus forte raison, qu'une condamnation ait été prononcée (WERRO/PERRITAZ, op. cit., n. 31 ad art. 60 CO et les réf. citées). Le délai de prescription plus long au sens de l'art. 60 al. 2 CO court du jour où l'auteur a exercé son activité coupable (art. 97 et 98 CP; WERRO/PERRITAZ, op. cit., n. 35 ad art. 60 CO).</w:t>
      </w:r>
    </w:p>
    <w:p>
      <w:r>
        <w:rPr>
          <w:b/>
        </w:rPr>
        <w:t>E. 3.1.2</w:t>
      </w:r>
    </w:p>
    <w:p>
      <w:r>
        <w:t>Selon l'art. 97 al. 1 let. c CP (dans sa teneur en vigueur jusqu'au 1er janvier 2024), l’action pénale se prescrit par dix ans si la peine maximale encourue est une peine privative de liberté de trois ans. La prescription est de quinze ans si la peine maximale encourue est une peine privative de liberté de plus de trois ans (art. 97 al. 1 let. b aCP). L'art. 122 aCP sanctionne d’une peine privative de liberté de dix ans au plus celui qui, intentionnellement, blesse une personne de façon à mettre sa vie en danger, mutile le corps d’une personne, un de ses membres ou un de ses organes importants, cause à une personne une incapacité de travail, une infirmité ou une maladie mentale permanentes, ou défigure une personne d’une façon grave et permanente ou lui fait subir toute autre atteinte grave à l’intégrité corporelle ou à la santé physique ou mentale. D'après l'art. 123 aCP, celui qui, intentionnellement, aura fait subir à une personne une autre atteinte à l’intégrité corporelle ou à la santé sera, sur plainte, puni d’une peine privative de liberté de trois ans au plus ou d’une peine pécuniaire. L'art. 125 aCP prévoit que celui qui, par négligence, aura fait subir à une personne une atteinte à l’intégrité corporelle ou à la santé sera, sur plainte, puni d’une peine privative de liberté de trois ans au plus ou d’une peine pécuniaire; si la lésion est grave le délinquant sera poursuivi d’office (al. 2).</w:t>
      </w:r>
    </w:p>
    <w:p>
      <w:r>
        <w:rPr>
          <w:b/>
        </w:rPr>
        <w:t>E. 3.2</w:t>
      </w:r>
    </w:p>
    <w:p>
      <w:r>
        <w:t>En l'espèce, le premier juge a retenu que ni le courrier adressé à l'intimée ni les téléphones invoqués avec cette dernière, dont la teneur n'était au demeurant pas établie, ne constituaient des actes interruptifs de prescription au sens des dispositions légales susmentionnées. De même, le souhait de l'appelant de se consacrer à un projet d'écriture durant plusieurs années après le sinistre au lieu d'entreprendre des démarches en vue de se faire indemniser n’avait pas eu pour effet de suspendre le délai de prescription. Pour le surplus, la prescription pénale potentiellement applicable n'était pas celle de l'art. 97 al. 1 let. b CP mais bien celle de la lettre c au regard de la peine prévue à l'art. 125 CP. La prescription était dès lors acquise le 7 septembre 2018, soit avant l'entrée en vigueur du nouveau droit de la prescription de l'art. 83 LCR, de sorte que la prescription absolue de 20 ans ne trouvait pas application.</w:t>
      </w:r>
    </w:p>
    <w:p>
      <w:r>
        <w:t>- 8/9 -</w:t>
      </w:r>
    </w:p>
    <w:p>
      <w:r>
        <w:t>C/17048/2022</w:t>
      </w:r>
    </w:p>
    <w:p>
      <w:r>
        <w:t>L'appelant remet en cause l'application du délai de prescription de dix ans fixé à l'art. 83 LCR, faisant valoir que le délai de prescription de quinze ans prévu par le Code pénal pour des infractions intentionnelles (ou du moins par dol éventuel) à l'intégrité corporelle serait applicable.</w:t>
      </w:r>
    </w:p>
    <w:p>
      <w:r>
        <w:t>Le précité ne peut cependant être suivi, puisqu'une application de l'art. 122 CP n'aurait pas pu entrer en ligne de compte. En effet, le seul rapport médical établi dans les jours qui ont suivi l'accident subi par l'appelant fait état d'une blessure au poignet gauche, de sorte que l'un des éléments objectifs (lésion corporelle grave mettant la vie en danger) de l'infraction réprimée par l'art. 122 CP fait défaut. Par ailleurs, la question de savoir si le conducteur du véhicule ayant causé l'accident se trouvait en état d'ébriété au moment des faits importe peu. Au vu de la nature des blessures subies par l'appelant, soit des lésions corporelles simples, seule une éventuelle application des art. 123 ou 125 CP aurait été envisageable, les deux infractions prévoyant des peines maximales de trois ans. Le délai de prescription de l'action pénale s'élève ainsi à dix ans et n'est donc pas plus long que le délai de prescription civile. La prescription absolue des éventuelles créances de l'appelant à l'égard de l'intimée est dès lors survenue le 7 septembre 2018, soit dix ans après l'accident, en application des règles de la LCR. Compte tenu de ce qui précède, c'est à juste titre que le premier juge a retenu que les prétentions émises par l'appelant à l'encontre de l'intimée étaient prescrites. Par conséquent, l'appel sera rejeté.</w:t>
      </w:r>
    </w:p>
    <w:p>
      <w:r>
        <w:rPr>
          <w:b/>
        </w:rPr>
        <w:t>E. 4</w:t>
      </w:r>
    </w:p>
    <w:p>
      <w:r>
        <w:t>L'appelant, qui succombe, sera condamné aux frais judiciaires d'appel, arrêtés à 1'800 fr. (art. 17 et 35 RTFMC et 106 al. 1 CPC), compensés avec l'avance de frais du même montant qui a été versée, qui demeure acquise à l'Etat de Genève (art. 111 al. 1 CPC). Il n'y a pas lieu à l'octroi de dépens, dans la mesure où l'intimée a agi en personne. * * * * *</w:t>
      </w:r>
    </w:p>
    <w:p>
      <w:r>
        <w:t>- 9/9 -</w:t>
      </w:r>
    </w:p>
    <w:p>
      <w:r>
        <w:t>C/17048/2022 PAR CES MOTIFS, La Chambre civile : A la forme : Déclare recevable l'appel interjeté le 14 septembre 2023 par A______ contre le jugement JTPI/8280/2023 rendu le 13 juillet 2023 par le Tribunal de première instance dans la cause C/17048/2022. Au fond : Confirme le jugement entrepris. Déboute les parties de toutes autres conclusions. Sur les frais : Les frais judiciaires sont arrêtés à 1'800 fr., mis à la charge de A______ et entièrement compensés avec l'avance de frais versée, qui reste acquise à l'Etat de Genève. Dit qu'il n'y a pas lieu à dépens.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