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ACJC/405/2025 vom 18. März 2025</w:t>
      </w:r>
    </w:p>
    <w:p>
      <w:r>
        <w:t>GE Cour de justice, 2025-03-18, FR</w:t>
      </w:r>
    </w:p>
    <w:p>
      <w:r>
        <w:rPr>
          <w:b/>
        </w:rPr>
        <w:t xml:space="preserve">Quelle: </w:t>
      </w:r>
      <w:r>
        <w:t>https://mcp.opencaselaw.ch/entscheid/ge_gerichte_ACJC_405_2025</w:t>
      </w:r>
    </w:p>
    <w:p>
      <w:r>
        <w:t>FR: GE_GERICHTE ACJC/405/2025 du 18 mars 2025</w:t>
      </w:r>
    </w:p>
    <w:p>
      <w:r>
        <w:t>IT: GE_GERICHTE ACJC/405/2025 del 18 marzo 2025</w:t>
      </w:r>
    </w:p>
    <w:p>
      <w:pPr>
        <w:pStyle w:val="Heading2"/>
      </w:pPr>
      <w:r>
        <w:t>Erwägungen</w:t>
      </w:r>
    </w:p>
    <w:p>
      <w:r>
        <w:rPr>
          <w:b/>
        </w:rPr>
        <w:t>E. 1.1</w:t>
      </w:r>
    </w:p>
    <w:p>
      <w:r>
        <w:t>L'appel est recevable pour avoir été interjeté auprès de l'autorité compétente (art. 120 al. 1 let. a LOJ), selon la forme prescrite par la loi (art. 130, 131 et 311 CPC) et dans le délai utile de dix jours (art. 142, 248 let. d et 314 al. 1 CPC), à l'encontre d'une décision sur mesures provisionnelles (art. 308 al. 1 let. b CPC), statuant sur une requête ayant pour objet les modalités du droit aux relations personnelles, soit une affaire de nature non-pécuniaire (art. 308 al. 2 CPC a contrario). Le mémoire de réponse est également recevable pour avoir été déposé dans le délai et la forme prescrits par la loi (art 314 al. 1 CPC).</w:t>
      </w:r>
    </w:p>
    <w:p>
      <w:r>
        <w:rPr>
          <w:b/>
        </w:rPr>
        <w:t>E. 1.2</w:t>
      </w:r>
    </w:p>
    <w:p>
      <w:r>
        <w:t>La pièce nouvelle produite par l'appelant est recevable (art. 317 al. 1bis et 407f CPC).</w:t>
      </w:r>
    </w:p>
    <w:p>
      <w:r>
        <w:t>- 6/12 -</w:t>
      </w:r>
    </w:p>
    <w:p>
      <w:r>
        <w:t>C/6608/2024</w:t>
      </w:r>
    </w:p>
    <w:p>
      <w:r>
        <w:rPr>
          <w:b/>
        </w:rPr>
        <w:t>E. 1.3</w:t>
      </w:r>
    </w:p>
    <w:p>
      <w:r>
        <w:t>La procédure sommaire est applicable aux mesures provisionnelles (art. 248 al. 2 CPC). La cognition du juge des mesures provisionnelles est limitée à la simple vraisemblance des faits et à un examen sommaire du droit. Les moyens de preuve sont limités à ceux qui sont immédiatement disponibles (ATF 127 III 474 consid. 2b/bb; arrêt du Tribunal fédéral 5A_442/2013 du 24 juillet 2013 consid. 2.1 et 5.1).</w:t>
      </w:r>
    </w:p>
    <w:p>
      <w:r>
        <w:rPr>
          <w:b/>
        </w:rPr>
        <w:t>E. 1.4</w:t>
      </w:r>
    </w:p>
    <w:p>
      <w:r>
        <w:t>La Cour revoit la cause avec un plein pouvoir d'examen en fait et en droit (art. 310 CPC), dans la limite des griefs qui sont formulés (ATF 142 III 413 consid. 2.2.4; arrêts du Tribunal fédéral 4A_290/2014 du 1er septembre 2014 consid. 5; 5A_89/2014 du 15 avril 2014 consid. 5.3.2). En particulier, elle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1.5</w:t>
      </w:r>
    </w:p>
    <w:p>
      <w:r>
        <w:t>Les maximes d'office et inquisitoire illimitée régissent la procédure, de sorte que la Cour établit les faits d'office et n'est pas liée par les conclusions des parties (art. 296 al. 1 et 3 CPC), ni par l'interdiction de la reformatio in pejus (ATF 147 III 301 consid. 2.2; 138 III 374 consid. 4.3.1; 129 III 417 consid. 2.1.1; arrêt du Tribunal fédéral 5A_841/2018 du 12 février 2020 consid. 5.2; 5A_757/2013 du 14 juillet 2014 consid. 2.1).</w:t>
      </w:r>
    </w:p>
    <w:p>
      <w:r>
        <w:rPr>
          <w:b/>
        </w:rPr>
        <w:t>E. 2</w:t>
      </w:r>
    </w:p>
    <w:p>
      <w:r>
        <w:t>L'appelant reproche au Tribunal d'avoir rejeté sa requête de mesures provisionnelles et d'avoir refusé de modifier son droit de visite.</w:t>
      </w:r>
    </w:p>
    <w:p>
      <w:r>
        <w:rPr>
          <w:b/>
        </w:rPr>
        <w:t>E. 2.1</w:t>
      </w:r>
    </w:p>
    <w:p>
      <w:r>
        <w:t>Lorsque le juge compétent est saisi d'une action alimentaire, il est également compétent pour statuer sur l'autorité parentale ou les modalités d'exercice des relations personnelles (art. 298b al. 3 CC et 304 al. 2 CPC).</w:t>
      </w:r>
    </w:p>
    <w:p>
      <w:r>
        <w:rPr>
          <w:b/>
        </w:rPr>
        <w:t>E. 2.1.1</w:t>
      </w:r>
    </w:p>
    <w:p>
      <w:r>
        <w:t>Selon la jurisprudence de la Cour, des mesures provisionnelles relatives aux modalités d'exercice des relations personnelles peuvent être requises dans le cadre d'une action alimentaire aux conditions de l'art. 261 al. 1 CPC (ACJC/560/2024 du 6 mai 2024 consid. 4.1.3; ACJC/278/2023 du 27 février 2023; ACJC/959/2022 du 14 juillet 2022 consid. 1; ACJC/1501/2021 du 17 novembre 2021 consid. 2).</w:t>
      </w:r>
    </w:p>
    <w:p>
      <w:r>
        <w:rPr>
          <w:b/>
        </w:rPr>
        <w:t>E. 2.1.2</w:t>
      </w:r>
    </w:p>
    <w:p>
      <w:r>
        <w:t>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L'existence d'un préjudice difficilement réparable doit être appréciée au regard des conséquences concrètes qu'aurait pour la partie requérante l'absence de telles</w:t>
      </w:r>
    </w:p>
    <w:p>
      <w:r>
        <w:t>- 7/12 -</w:t>
      </w:r>
    </w:p>
    <w:p>
      <w:r>
        <w:t>C/6608/2024 mesures. Un tel préjudice devra ainsi être admis si, à défaut de mesures provisionnelles, la partie requérante serait privée en tout ou en partie de la possibilité d'entretenir des relations personnelles avec son enfant mineur : dans une telle hypothèse en effet, il ne pourra être remédié au préjudice subi pendant la procédure même en cas de décision finale favorable (ACJC/1042/2023 du 15 août 2023 consid. 1.1.1; ACJC/959/2022 du 14 juillet 2022 consid. 1.1; ACJC/1501/2021 du 17 novembre 2021 consid. 2.1).</w:t>
      </w:r>
    </w:p>
    <w:p>
      <w:r>
        <w:rPr>
          <w:b/>
        </w:rPr>
        <w:t>E. 2.1.3</w:t>
      </w:r>
    </w:p>
    <w:p>
      <w:r>
        <w:t>A la requête de l'un des parents ou de l'enfant ou encore d'office, l'autorité de protection, respectivement le juge compétent, modifie les modalités des relations personnelles lorsque des faits nouveaux importants le commandent pour le bien de l'enfant (art. 298d CC). Toute modification suppose que la nouvelle réglementation soit requise dans l'intérêt de l'enfant en raison de la survenance de faits nouveaux essentiels. En d'autres termes, une nouvelle réglementation de la garde ne dépend pas seulement de l'existence de circonstances nouvelles importantes; elle doit aussi être commandée par le bien de l'enfant. La modification ne peut être envisagée que si le maintien de la réglementation actuelle risque de porter atteinte au bien de l'enfant et le menace sérieusement (arrêt du Tribunal fédéral 5A_499/2023 du 26 février 2024 consid. 4.1 et les références citées).</w:t>
      </w:r>
    </w:p>
    <w:p>
      <w:r>
        <w:rPr>
          <w:b/>
        </w:rPr>
        <w:t>E. 2.1.4</w:t>
      </w:r>
    </w:p>
    <w:p>
      <w:r>
        <w:t>Aux termes de l'art. 273 al. 1 CC, le parent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dans chaque cas, la décision doit donc être prise de manière à répondre le mieux possible à ses besoins, l'intérêt des parents étant relégué à l'arrière-plan (ATF 142 III 617 consid. 3.2.3; 141 III 328 consid. 5.4; 131 III 209 consid. 5). A cet égard, il est unanimement reconnu que le rapport de l'enfant avec ses deux parents est essentiel et qu'il peut jouer un rôle décisif dans le processus de recherche d'identité de l'enfant (ATF 127 III 295 consid. 4a; 123 III 445 consid. 3c; arrêt du Tribunal fédéral 5A_454/2019 du 16 avril 2020 consid. 4.2.1). La fixation du droit aux relations personnelles relève de l'appréciation du juge du fait, qui jouit pour cela d'un large pouvoir et applique les règles du droit et de l'équité (ATF 142 III 617 consid. 3.2.5; arrêts du Tribunal fédéral 5A_669/2019 du 7 février 2020 consid. 6.3; 5A_334/2018 du 7 août 2018 consid. 3.1 et les références citées).</w:t>
      </w:r>
    </w:p>
    <w:p>
      <w:r>
        <w:rPr>
          <w:b/>
        </w:rPr>
        <w:t>E. 2.1.5</w:t>
      </w:r>
    </w:p>
    <w:p>
      <w:r>
        <w:t>Selon l'art. 308 CC, lorsque les circonstances l'exigent, l'autorité de protection de l'enfant - respectivement le juge (art. 315a al. 1 CC) - nomme un</w:t>
      </w:r>
    </w:p>
    <w:p>
      <w:r>
        <w:t>- 8/12 -</w:t>
      </w:r>
    </w:p>
    <w:p>
      <w:r>
        <w:t>C/6608/2024 curateur qui assiste les père et mère de ses conseils et de son appui dans la prise en charge de l'enfant (al. 1). Le curateur peut se voir conférer certains pouvoirs tels que la surveillance des relations personnelles (al. 2). La curatelle de surveillance des relations personnelles prévue à l'art. 308 al. 2 CC fait partie des modalités auxquelles peut être soumis le droit de visite. Elle a pour but de faciliter, malgré les tensions existantes entre les père et mère, le contact entre l'enfant et le parent qui n'est pas au bénéfice de la garde et de garantir l'exercice du droit de visite. Le rôle du curateur est, dans ce cas, proche de celui d'un intermédiaire et d'un négociateur. Ce dernier n'a pas le pouvoir de décider lui-même de la réglementation du droit de visite, mais le juge peut lui confier le soin d'organiser les modalités pratiques de ce droit dans le cadre qu'il aura préalablement déterminé (arrêts du Tribunal fédéral 5A_670/2013 du 8 janvier 2014 consid. 4.1; 5A_101/2011 du 7 juin 2011 consid. 3.1.4). L'autorité jouit à cet égard d'un large pouvoir d'appréciation (art. 4 CC) (arrêts du Tribunal fédéral 5A_818/2022 du 9 mars 2023 consid. 4.1; 5A_690/2022 du 31 janvier 2023 consid. 3.1).</w:t>
      </w:r>
    </w:p>
    <w:p>
      <w:r>
        <w:rPr>
          <w:b/>
        </w:rPr>
        <w:t>E. 2.1.6</w:t>
      </w:r>
    </w:p>
    <w:p>
      <w:r>
        <w:t>Aux fins de trancher la question du sort des enfants, le juge peut avoir recours aux services de protection de l'enfance ou de la jeunesse pour demander un rapport sur la situation familiale, une enquête sociale pouvant avoir son utilité en cas de situation conflictuelle et de doute sur la solution adéquate pour les enfants; il peut toutefois s'écarter des conclusions d'un rapport établi par un tel service à des conditions moins strictes que celles applicables lorsqu'il s'agit d'une expertise judiciaire (arrêt du Tribunal fédéral 5A_119/2022 du 7 novembre 2022 consid. 3.1).</w:t>
      </w:r>
    </w:p>
    <w:p>
      <w:r>
        <w:rPr>
          <w:b/>
        </w:rPr>
        <w:t>E. 2.2</w:t>
      </w:r>
    </w:p>
    <w:p>
      <w:r>
        <w:t>En l'espèce, le lien entre le père et sa fille est fragile depuis la séparation des parents, intervenue lorsque l'enfant était âgée d'à peine 4 mois. Leurs relations personnelles se sont en effet déroulées de façon irrégulière et limitées, en raison notamment du conflit entre le père et la mère et du manque d'implication dont l'appelant a pu faire preuve à l'égard de sa fille. L'appelant ne s'est ainsi jamais occupé seul de C______. L'accord trouvé par les parties, lors de l'audience de conciliation du 8 mai 2024, a permis d'instaurer une certaine régularité des visites. Il était toutefois prévu que ce droit de visite évolue, comme cela résulte de la transaction partielle (qui qualifie le droit de visite de provisoire) et du procès-verbal d'audience du 18 juin 2024, en fonction des recommandations du SEASP. Le rapport d'évaluation sociale du 31 juillet 2024 a précisément confirmé la nécessité de faire évoluer ce droit de visite, dont les modalités ne sont pas conformes à l'intérêt de l'enfant, puisqu'elles ne permettent pas au père et à sa fille de construire une véritable relation, les moments partagés se déroulant en</w:t>
      </w:r>
    </w:p>
    <w:p>
      <w:r>
        <w:t>- 9/12 -</w:t>
      </w:r>
    </w:p>
    <w:p>
      <w:r>
        <w:t>C/6608/2024 présence de la mère, et confrontent l'enfant à un conflit parental encore marqué au vu des échanges produits en appel. Il apparaît primordial que l'enfant, désormais âgée de 20 mois, puisse, sans tarder, construire une relation de confiance avec son père, laquelle est nécessaire à son bon développement, et que l'appelant puisse investir son rôle de père. Or, en l'absence d'une décision sur mesures provisionnelles, la situation actuelle va probablement se prolonger encore un certain temps, la procédure n'étant qu'à ses prémices et l'appelante envisageant, de plus, de solliciter la mise en œuvre d'une expertise familiale. Ainsi, contrairement à ce qu'a retenu le premier juge, les conditions pour le prononcé de mesures provisionnelles fixées par l'art. 261 al. 1 CPC sont réunies. Il est vrai que les capacités parentales de l'appelant ne permettent pas d'envisager un élargissement trop soudain du droit de visite exercé actuellement. Les inquiétudes exprimées par la mère ont été objectivées par le SEASP ainsi que par la pédiatre de l'enfant, qui soutient également qu'une mesure d'assistance éducative serait bénéfique au père, et doivent être prises en compte. Le SEASP ainsi que l'appelant concluent néanmoins à la mise en place d'un droit de visite accompagné, ce qui correspond au souhait de la mère, pour laquelle il est impératif que le père soit guidé par des professionnels. Il est dès lors admis qu'un tiers professionnel doit intervenir, afin de conseiller le père et d'éviter de mettre en péril le bon développement de l'enfant. Les craintes exprimées par la mère à l'égard de E______ n'apparaissent en revanche pas fondées puisque l'organisme en question bénéficie de l'expérience d'éducateurs spécialisés et permet la mise en place d'une assistance éducative (de type AEMO) en parallèle de l'organisation d'un droit de visite accompagné. Grâce à un tel suivi, parents et enfant bénéficieront de toute l'aide nécessaire pour construire une relation sereine, où chacun aura sa place. Compte tenu de ce qui précède, il sera par conséquent procédé à une modification du droit de visite, lequel aura lieu, dans un premier temps, à raison de deux heures par semaine, dans les locaux de E______, en présence d'un tiers professionnel, puis, aussitôt que le curateur (cf. infra) estimera que la situation le permet, à raison de deux visites hebdomadaires de deux heures, au domicile du père, toujours en présence d'un tiers professionnel. Dans la mesure où les mesures provisionnelles n'ont pas vocation à durer, il n'y a pas lieu de réglementer, à ce stade, le droit de visite de l'appelant au-delà-de ce qui précède. Une curatelle d'organisation et de surveillance des relations personnelles sera par ailleurs instaurée et le curateur sera chargé de mettre en place avec E______ le droit de visite selon les modalités décrites et d'accompagner l'évolution du droit de visite.</w:t>
      </w:r>
    </w:p>
    <w:p>
      <w:r>
        <w:t>- 10/12 -</w:t>
      </w:r>
    </w:p>
    <w:p>
      <w:r>
        <w:t>C/6608/2024 En attendant de pouvoir obtenir le soutien de E______, père et fille continueront de se voir selon les modalités mises en place depuis le 8 mai 2024. Pour le reste, il n'y a pas lieu de statuer sur la garde, les parties ne remettant pas en cause leur accord sur ce point.</w:t>
      </w:r>
    </w:p>
    <w:p>
      <w:r>
        <w:rPr>
          <w:b/>
        </w:rPr>
        <w:t>E. 3.1</w:t>
      </w:r>
    </w:p>
    <w:p>
      <w:r>
        <w:t>Lorsque l'instance d'appel statue à nouveau, elle se prononce sur les frais de première instance (art. 318 al. 3 CPC). En l'espèce, le Tribunal a réservé le sort des frais de la décision querellée à la décision à rendre sur le fond, conformément à l'art. 104 al. 3 CPC. Ce point sera confirmé sans qu'il y ait lieu de statuer à nouveau sur les frais de première instance.</w:t>
      </w:r>
    </w:p>
    <w:p>
      <w:r>
        <w:rPr>
          <w:b/>
        </w:rPr>
        <w:t>E. 3.2</w:t>
      </w:r>
    </w:p>
    <w:p>
      <w:r>
        <w:t>Les frais judiciaires d'appel seront fixés à 800 fr. (art. 96 CPC et art. 32 et 35 RTFMC) et mis à la charge des parents pour moitié chacun, compte tenu de la nature familiale du litige (art. 107 al. 1 let. c CPC). Ceux-ci plaidant au bénéfice de l'assistance judiciaire, leur part sera provisoirement laissée à la charge de l'Etat de Genève, qui pourra en réclamer le remboursement ultérieurement (art. 122 al. 1 let. b et 123 al. 1 CPC; art. 19 RAJ) Pour les mêmes motifs, chaque partie conservera à sa charge ses dépens d'appel. * * * * *</w:t>
      </w:r>
    </w:p>
    <w:p>
      <w:r>
        <w:t>- 11/12 -</w:t>
      </w:r>
    </w:p>
    <w:p>
      <w:r>
        <w:t>C/6608/2024 PAR CES MOTIFS, La Chambre civile :</w:t>
      </w:r>
    </w:p>
    <w:p>
      <w:r>
        <w:t>A la forme : Déclare recevable l'appel interjeté le 7 novembre 2024 par A______ contre l'ordonnance OTPI/672/2024 rendue le 29 octobre 2024 par le Tribunal de première instance dans la cause C/6608/2024. Au fond : Annule le chiffre 1 du dispositif de cette ordonnance et cela fait, statuant à nouveau : Réserve à A______ un droit de visite sur sa fille C______ devant s'exercer à raison d'une visite hebdomadaire de deux heures dans les locaux de E______, en présence d'un intervenant, puis, aussitôt que le curateur estimera que la situation le permet, à raison de deux visites hebdomadaires de deux heures au domicile de A______, toujours en présence d'un intervenant de E______, étant précisé qu'en attendant de pouvoir obtenir le soutien de cet organisme, le droit de visite continuera de s'exercer selon les modalités convenues par transaction partielle du 8 mai 2024. Instaure une curatelle d'organisation et de surveillance des relations personnelles et charge le curateur de mettre en place un service d'accompagnement spécifique du droit de visite avec E______ et de veiller à la bonne évolution du droit de visite pour procéder à son élargissement. Transmet la présente décision au Tribunal de protection de l'adulte et de l'enfant pour désignation du curateur. Confirme l'ordonnance entreprise pour le surplus. Déboute les parties de toutes autres conclusions. Sur les frais : Arrête les frais judiciaires d'appel à 800 fr., les met à la charge de A______ et de D______ à raison d'une moitié chacun et dit qu'ils sont provisoirement supportés par l'Etat de Genève, sous réserve d'une décision contraire de l'assistance judiciaire. Dit qu'il n'est pas alloué de dépens d'appel.</w:t>
      </w:r>
    </w:p>
    <w:p>
      <w:r>
        <w:t>- 12/12 -</w:t>
      </w:r>
    </w:p>
    <w:p>
      <w:r>
        <w:t>C/6608/2024 Siégeant : Monsieur Laurent RIEBEN, président; Madame Fabienne GEISINGER-MARIETHOZ, Madame Ursula ZEHETBAUER GHAVAMI, juges; Madame Sandra CARRIER, greffière.</w:t>
      </w:r>
    </w:p>
    <w:p>
      <w:r>
        <w:t>Le président : Laurent RIEBEN</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