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ACJC/404/2021 vom 13. April 2021</w:t>
      </w:r>
    </w:p>
    <w:p>
      <w:r>
        <w:t>GE Cour de justice, 2021-04-13, FR</w:t>
      </w:r>
    </w:p>
    <w:p>
      <w:r>
        <w:rPr>
          <w:b/>
        </w:rPr>
        <w:t xml:space="preserve">Quelle: </w:t>
      </w:r>
      <w:r>
        <w:t>https://mcp.opencaselaw.ch/entscheid/ge_gerichte_ACJC_404_2021</w:t>
      </w:r>
    </w:p>
    <w:p>
      <w:r>
        <w:t>FR: GE_GERICHTE ACJC/404/2021 du 13 avril 2021</w:t>
      </w:r>
    </w:p>
    <w:p>
      <w:r>
        <w:t>IT: GE_GERICHTE ACJC/404/2021 del 13 aprile 2021</w:t>
      </w:r>
    </w:p>
    <w:p>
      <w:pPr>
        <w:pStyle w:val="Heading2"/>
      </w:pPr>
      <w:r>
        <w:t>Erwägungen</w:t>
      </w:r>
    </w:p>
    <w:p>
      <w:r>
        <w:rPr>
          <w:b/>
        </w:rPr>
        <w:t>E. 1</w:t>
      </w:r>
    </w:p>
    <w:p>
      <w:r>
        <w:t>L'appel est recevable contre les décisions finales de première instance (art. 308 al. 1 let. a CPC) dans les causes patrimoniales dont la valeur, au dernier état des conclusions de première instance, est de 10'000 fr. au moins (art. 308 al. 2 CPC).</w:t>
      </w:r>
    </w:p>
    <w:p>
      <w:r>
        <w:t>En l'espèce, l'appel, qui porte sur la contribution à l'entretien d'un enfant mineur, est de nature patrimoniale. Compte tenu de la quotité de la pension contestée en première instance, la valeur litigieuse, capitalisée selon l'art. 92 al. 2 CPC, est supérieure à 10'000 fr. La voie de l'appel est dès lors ouverte.</w:t>
      </w:r>
    </w:p>
    <w:p>
      <w:r>
        <w:rPr>
          <w:b/>
        </w:rPr>
        <w:t>E. 1.2</w:t>
      </w:r>
    </w:p>
    <w:p>
      <w:r>
        <w:t>L'appel, écrit et motivé, a été interjeté dans le délai utile de 30 jours (art. 130, 131, 145 al. 1 let. c, et 311 al. 1 CPC). Il est ainsi recevable.</w:t>
      </w:r>
    </w:p>
    <w:p>
      <w:r>
        <w:t>Il en va de même de l'appel joint (art. 313 al. 1 CPC).</w:t>
      </w:r>
    </w:p>
    <w:p>
      <w:r>
        <w:t>Le mineur A______ sera ci-après désigné comme l'appelant et C______ comme l'intimé.</w:t>
      </w:r>
    </w:p>
    <w:p>
      <w:r>
        <w:rPr>
          <w:b/>
        </w:rPr>
        <w:t>E. 1.3</w:t>
      </w:r>
    </w:p>
    <w:p>
      <w:r>
        <w:t>S'agissant d'une action qui n'est pas liée à une procédure matrimoniale, la procédure simplifiée s'applique (art. 295 CPC).</w:t>
      </w:r>
    </w:p>
    <w:p>
      <w:r>
        <w:t>La Cour revoit la cause avec un plein pouvoir d'examen (art. 310 CPC), mais uniquement dans la limite des griefs suffisamment motivés qui sont formulés (arrêts du Tribunal fédéral 4A_290/2014 du 1er septembre 2014 consid. 5 et 5A_89/2014 du 15 avril 2011 consid. 5.3.2).</w:t>
      </w:r>
    </w:p>
    <w:p>
      <w:r>
        <w:t>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w:t>
      </w:r>
    </w:p>
    <w:p>
      <w:r>
        <w:t>- 14/24 -</w:t>
      </w:r>
    </w:p>
    <w:p>
      <w:r>
        <w:t>C/2511/2019 moyens de preuve disponibles (ATF 128 III 4.11 consid. 3.2.1; arrêt du Tribunal fédéral 5A_762/2013 du 27 mars 2014 consid. 4.1).</w:t>
      </w:r>
    </w:p>
    <w:p>
      <w:r>
        <w:rPr>
          <w:b/>
        </w:rPr>
        <w:t>E. 1.4</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la présente cause. Le principe de la chose jugée l'emporte ainsi sur celui de la maxime d'office.</w:t>
      </w:r>
    </w:p>
    <w:p>
      <w:r>
        <w:t>En conséquence, les chiffres 1 et 5 à 9 du dispositif du jugement querellé, non remis en cause par les parties, sont entrés en force de chose jugée. Les chiffres 10 et 11 relatifs aux frais pourront être revus d'office en cas d'annulation de tout ou partie du jugement entrepris dans le cadre du présent appel (art. 318 al. 3 CPC).</w:t>
      </w:r>
    </w:p>
    <w:p>
      <w:r>
        <w:rPr>
          <w:b/>
        </w:rPr>
        <w:t>E. 2</w:t>
      </w:r>
    </w:p>
    <w:p>
      <w:r>
        <w:t>Les parties ont produit des pièces nouvelles en appel.</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w:t>
      </w:r>
    </w:p>
    <w:p>
      <w:r>
        <w:rPr>
          <w:b/>
        </w:rPr>
        <w:t>E. 2.2</w:t>
      </w:r>
    </w:p>
    <w:p>
      <w:r>
        <w:t>Il s'ensuit que toutes les pièces nouvelles produites par les parties, ainsi que leurs allégations et contestations nouvelles, sont recevables. Elles ont été intégrées dans la mesure utile dans la partie "EN FAIT" ci-dessus, sous let. D.</w:t>
      </w:r>
    </w:p>
    <w:p>
      <w:r>
        <w:rPr>
          <w:b/>
        </w:rPr>
        <w:t>E. 3</w:t>
      </w:r>
    </w:p>
    <w:p>
      <w:r>
        <w:t>L'appelant conclut au rejet de l'action en modification de sa pension alimentaire. L'intimé requiert la suppression de la pension à compter du 31 janvier 2019, en reprochant au Tribunal de ne pas avoir tenu compte du fait que c'était parce qu'il avait "consommé la quasi-totalité de sa fortune qu'il a[vait] réussi à honorer le versement des contributions d'entretien".</w:t>
      </w:r>
    </w:p>
    <w:p>
      <w:r>
        <w:rPr>
          <w:b/>
        </w:rPr>
        <w:t>E. 3.1</w:t>
      </w:r>
    </w:p>
    <w:p>
      <w:r>
        <w:t>Le juge de l'action en modification [d'une pension alimentaire] peut fixer le moment à partir duquel son jugement prend effet selon son appréciation (art. 4 CC) et en tenant compte des circonstances du cas concret (ATF 117 II 368 consid. 4c; arrêts du Tribunal fédéral 5A_651/2014 du 27 janvier 2015 consid. 4.1.2; 5A_760/2012 du 27 février 2013 consid. 6). En principe, la jurisprudence retient la date du dépôt de la demande (ATF 117 II 368 consid. 4c/aa; 115 II 309 consid. 3b; arrêts du Tribunal fédéral 5A_651/2014 précité consid. 4.1.2; 5A_760/2012 précité consid. 6). Lorsque le motif pour</w:t>
      </w:r>
    </w:p>
    <w:p>
      <w:r>
        <w:t>- 15/24 -</w:t>
      </w:r>
    </w:p>
    <w:p>
      <w:r>
        <w:t>C/2511/2019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5A_512/2020 du 7 décembre 2020 consid. 3.3.3; 5A_230/2019 du 31 janvier 2020 consid. 6.1 in fine;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du Tribunal fédéral 5A_539/2019 du 14 novembre 2019 consid. 3.3; 5A_685/2018 du 15 mai 2019 consid. 5.3.4.1; 5A_831/2016 du 21 mars 2017 consid. 4.3.1).</w:t>
      </w:r>
    </w:p>
    <w:p>
      <w:r>
        <w:rPr>
          <w:b/>
        </w:rPr>
        <w:t>E. 3.2</w:t>
      </w:r>
    </w:p>
    <w:p>
      <w:r>
        <w:t>En l'espèce, l'intimé ne conteste pas l'argumentation du Tribunal, qui a considéré, d'une part, que si la contribution d'entretien devait être réduite au 31 janvier 2019, date du dépôt de la demande, la mère de l'appelant, qui n'avait que très peu de revenus, rencontrerait des difficultés à rembourser les montants versés, et, d'autre part, que l'intimé n'avait pas démontré qu'il avait dû s'endetter pour contribuer à l'entretien de son fils. Cela étant, il est établi que la pension alimentaire de 800 fr., due sur la base du jugement du Tribunal du 8 septembre 2009 depuis les 10 ans de l'appelant, a été intégralement versée jusqu'en avril 2020 compris. Même si l'appelant devait tenir compte du risque de réduction ou de suppression de la rente dès l'ouverture d'action, il n'en demeure pas moins que la restitution des contributions versées et utilisées pendant la durée du procès ne peut équitablement être exigée vu la situation financière de l'appelant et de la mère de celui-ci, qui n'a réalisé aucun revenu jusqu'en novembre 2020. Il n'est pas contesté que les montants versés par l'intimé ont été utilisés aux fins prévues. Le raisonnement du premier juge doit ainsi s'appliquer jusqu'en avril 2020 y compris. Par conséquent, la situation des parties et de la mère de l'appelant ne sera examinée ci-après qu'à compter du 1er mai 2020. Une éventuelle modification de la pension n'interviendra donc qu'à partir de cette date.</w:t>
      </w:r>
    </w:p>
    <w:p>
      <w:r>
        <w:rPr>
          <w:b/>
        </w:rPr>
        <w:t>E. 4</w:t>
      </w:r>
    </w:p>
    <w:p>
      <w:r>
        <w:t>A juste titre l'appelant ne conteste pas l'appréciation du Tribunal selon laquelle la baisse des revenus de l'intimé constitue un fait nouveau important et durable, au sens de l'art. 286 al. 2 CC, susceptible d'entraîner une modification de la contribution d'entretien. Il est rappelé que le moment déterminant pour apprécier si des circonstances nouvelles se sont produites est la date du dépôt de la demande</w:t>
      </w:r>
    </w:p>
    <w:p>
      <w:r>
        <w:t>- 16/24 -</w:t>
      </w:r>
    </w:p>
    <w:p>
      <w:r>
        <w:t>C/2511/2019 de modification du jugement de divorce. C'est donc à ce moment-là qu'il y a lieu de se placer pour déterminer le revenu et son évolution prévisible (ATF 137 III 604 consid. 4.1.1; arrêts du Tribunal fédéral 5A_154/2019 du 1er octobre 2019 consid. 4.1; 5A_400/2018 du 28 août 2018 consid. 3; 5A_788/2017 du 2 juillet 2018 consid. 5.1). Les parties reprochent au Tribunal une mauvaise appréciation de leur situation financière.</w:t>
      </w:r>
    </w:p>
    <w:p>
      <w:r>
        <w:rPr>
          <w:b/>
        </w:rPr>
        <w:t>E. 4.1.1</w:t>
      </w:r>
    </w:p>
    <w:p>
      <w:r>
        <w:t>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arrêts du Tribunal fédéral 5A_400/2018 précité consid. 3; 5A_788/2017 précité consid. 5.1; 5D_183/2017 du 13 juin 2018 consid. 4.1; 5A_35/2018 du 31 mai 2018 consid. 3.1; 5A_760/2016 du 5 septembre 2017 consid. 5.1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arrêts du Tribunal fédéral 5A_619/2017 du 14 décembre 2017 consid. 5.2.2; 5A_760/2016 précité consid. 5.1; 5A_332/2013 du 18 septembre 2013 consid. 3.1). Pour que le juge puisse procéder à cette actualisation, il n'est pas nécessaire que la modification survenue dans ces autres éléments constitue également un fait nouveau (ATF 138 III 289 consid. 11.1.1 et les références; arrêts du Tribunal fédéral 5A_760/2016 précité consid. 5.1; 5A_260/2016 du 14 octobre 2016 consid. 2.1.2; 5A_643/2015 du 15 mars 2016 consid. 4). Une modification du jugement ne se justifie en outre que lorsque la différence entre le montant de la contribution d'entretien nouvellement calculée et celle initialement fixée est d'une ampleur suffisante (arrêts du Tribunal fédéral 5A_230/2019 du 31 janvier 2020 consid. 6.1; 5A_760/2016 précité consid. 5.1; 5A_7/2016 du 15 juin 2016 consid. 5.3).</w:t>
      </w:r>
    </w:p>
    <w:p>
      <w:r>
        <w:rPr>
          <w:b/>
        </w:rPr>
        <w:t>E. 4.1.2</w:t>
      </w:r>
    </w:p>
    <w:p>
      <w:r>
        <w:t>L'entretien de l'enfant est assuré par les soins, l'éducation et les prestations pécuniaires (art. 276 al. 1 CC). Les père et mère contribuent ensemble, chacun</w:t>
      </w:r>
    </w:p>
    <w:p>
      <w:r>
        <w:t>- 17/24 -</w:t>
      </w:r>
    </w:p>
    <w:p>
      <w:r>
        <w:t>C/2511/2019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Tribunal fédéral 5A_584/2018, 5A_597/2018 du 10 octobre 2018 consid. 4.3 et les références citées).</w:t>
      </w:r>
    </w:p>
    <w:p>
      <w:r>
        <w:t>Selon l'art. 285 al. 2 CC, la contribution d'entretien sert aussi à garantir la prise en charge de l'enfant par les parents et les tiers. L'art. 276 al. 2 CC précise que l'entretien de l'enfant comprend, outre les frais de son éducation, de sa formation et des mesures prises pour le protéger, également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w:t>
      </w:r>
    </w:p>
    <w:p>
      <w:r>
        <w:rPr>
          <w:b/>
        </w:rPr>
        <w:t>E. 4.1.3</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Selon la jurisprudence récente du Tribunal fédéral, toutes les prestations d'entretien doivent être calculées selon la méthode du minimum vital avec répartition de l'excédent, dite en deux étapes (arrêts du Tribunal fédéral 5A_907/2018, 5A_311/2019, 5A_891/2018, 5A_104/2018, 5A_800/2019, destinés à la publication). Selon cette méthode, on examine les ressources et besoins des personnes intéressées, puis les ressources sont réparties d'une manière correspondant aux</w:t>
      </w:r>
    </w:p>
    <w:p>
      <w:r>
        <w:t>- 18/24 -</w:t>
      </w:r>
    </w:p>
    <w:p>
      <w:r>
        <w:t>C/2511/2019 besoins des ayants-droits selon un certain ordre.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Lorsqu’il reste des ressources après la couverture du minimum vital du droit de la famille de toutes les personnes intéressées, la contribution destinée à couvrir les coûts de l’enfant peut être augmentée avec l’attribution d’une part sur l’excédent (arrêt du Tribunal fédéral 5A_311/2019 du 11 novembre 2020, destiné à la publication, consid. 7 et 7.2, traduit par BURGAT, in Entretien de l'enfant, des précisions bienvenues : une méthode (presque) complète et obligatoire pour toute la Suisse; analyse de l'arrêt du Tribunal fédéral 5A_311/2019, Newsletter DroitMatrimonial.ch janvier 2021).</w:t>
      </w:r>
    </w:p>
    <w:p>
      <w:r>
        <w:t>Seules les charges effectives, dont le débirentier ou le crédirentier s'acquitte réellement, doivent être prises en compte (ATF 140 III 337 consid. 4.2.3; arrêt du Tribunal fédéral 5A_426/2016 du 2 novembre 2016 consid. 4.2). Le minimum vital du débirentier doit dans tous les cas être préservé (ATF 135 III 66, in JT 2010 I 167; 127 III 68 consid. 2, in SJ 2001 I 280; arrêt du Tribunal fédéral 5A_662/2013 du 24 juin 2014 consid. 3.2.1).</w:t>
      </w:r>
    </w:p>
    <w:p>
      <w:r>
        <w:rPr>
          <w:b/>
        </w:rPr>
        <w:t>E. 4.1.4</w:t>
      </w:r>
    </w:p>
    <w:p>
      <w:r>
        <w:t>Pour fixer la contribution d'entretien, le juge doit en principe tenir compte du revenu effectif des parties, tant le débiteur d'entretien que le créancier pouvant</w:t>
      </w:r>
    </w:p>
    <w:p>
      <w:r>
        <w:t>- 19/24 -</w:t>
      </w:r>
    </w:p>
    <w:p>
      <w:r>
        <w:t>C/2511/2019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5A_764/2017 du 7 mars 2018 consid. 3.2 et les références). Il appartient au demeurant au débirentier de démontrer avoir tout mis en œuvre pour percevoir un revenu équivalent à celui qu'il percevait précédemment (arrêts du Tribunal fédéral 5A_135/2018 du 31 mai 2018 consid. 5A_782/2016 du 31 mai 2017 consid. 5.3).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5A_710/2009 du 22 février 2010 consid. 4.1 non publié in ATF 136 III 257; 5A_764/2017 précité consid. 3.2).</w:t>
      </w:r>
    </w:p>
    <w:p>
      <w:r>
        <w:rPr>
          <w:b/>
        </w:rPr>
        <w:t>E. 4.2</w:t>
      </w:r>
    </w:p>
    <w:p>
      <w:r>
        <w:t>En l'espèce, il n'est pas contesté, d'une part, que l'obligation d'entretien en argent incombe entièrement à l'intimé, ni, d'autre part, qu'il n'y a pas lieu d'intégrer dans la pension due par le père une contribution de prise en charge. En effet, la mère fournit complètement sa contribution d'entretien en nature et,</w:t>
      </w:r>
    </w:p>
    <w:p>
      <w:r>
        <w:t>- 20/24 -</w:t>
      </w:r>
    </w:p>
    <w:p>
      <w:r>
        <w:t>C/2511/2019 comme l'a retenu à juste titre le Tribunal, le manco subi par celle-ci ne résulte pas de la prise en charge de l'appelant, qui aura 15 ans en juin 2021.</w:t>
      </w:r>
    </w:p>
    <w:p>
      <w:r>
        <w:rPr>
          <w:b/>
        </w:rPr>
        <w:t>E. 4.2.1</w:t>
      </w:r>
    </w:p>
    <w:p>
      <w:r>
        <w:t>L'appelant ne fournit aucun élément permettant de retenir que son père aurait renoncé volontairement au poste à 80 % qu'il occupait en 2009, ce dernier, interrogé (art. 191 CPC) par la Cour, ayant déclaré, sans être contredit, que ce changement avait été causé par un accident. L'employeur actuel de l'intimé a attesté qu'il n'est pas en mesure d'augmenter le temps de travail de celui-ci et l'intimé a démontré qu'il a effectué des recherches suffisantes dans son domaine de compétences, en vue d'un emploi mieux rémunéré ou à un taux d'activité plus élevé, ou encore des activités accessoires. Compte tenu de toutes les circonstances, il ne peut raisonnablement être exigé de l'intimé, comme le préconise l'appelant, qu'il quitte son domaine de compétence pour exercer une activité ne nécessitant aucune formation particulière. En effet, l'intimé est âgé de 51 ans et a acquis des formations (un bachelor et un certificat fédéral de capacité) dans un secteur spécifique; il a toujours travaillé dans ce domaine (______ et ______); enfin, la situation sanitaire actuelle rend compliquée toute recherche de travail et tout changement d'orientation professionnelle. Pour les mêmes raisons, il ne peut être imposé à l'intimé de compléter son activité principale à 60% par une activité accessoire dans un domaine ne nécessitant aucune qualification; cela entraînerait en outre pour lui l'impossibilité d'effectuer des missions ponctuelles dans son domaine de compétence, ce qui n'est pas raisonnable. En définitive, il ne se justifie pas d'imputer à l'intimé un revenu hypothétique supérieur à celui qu'il réalise actuellement. En 2020, l'intimé a gagné, dans son activité principale, 36'255 fr. net, auxquels il faut ajouter le revenu net de 1'171 fr. provenant de son activité accessoire, soit un total de 37'426 fr., correspondant approximativement 3'120 fr. par mois en moyenne. Il se justifie de retenir ce dernier montant, compte tenu du fait que la situation sanitaire liée au Covid-19 perdure et rend difficile pour l'intimé la réalisation d'activités accessoires. L'exploitation de la capacité de gain de l'intimé est soumise à des exigences particulièrement élevées et l'entretien de l'appelant prime celui de sa grand-mère paternelle. Il y a donc lieu de prendre en compte également les revenus locatifs relatifs à la part de l'intimé du bien immobilier situé à F______. A cet égard, il sied de se référer aux éléments fournis par l'intimé à l'Administration fiscale cantonale déterminants pour l'impôt fédéral direct et non pas, comme l'a fait le Tribunal, aux montants retenus pour le calcul des impôts cantonaux et communaux; en effet, la valeur locative déterminante pour ce dernier calcul comprend un abattement vu le lieu de situation de l'immeuble. La valeur locative nette a ainsi été de 4'238 fr. en 2017 (5'297 fr. - 1'059 fr.), 3'751 fr. en 2018 (5'569 fr. -1'818 fr.) et 4'167 fr. en 2019 (5'482 fr. - 1'315 fr.), soit une moyenne</w:t>
      </w:r>
    </w:p>
    <w:p>
      <w:r>
        <w:t>- 21/24 -</w:t>
      </w:r>
    </w:p>
    <w:p>
      <w:r>
        <w:t>C/2511/2019 de l'ordre de 340 fr. par mois sur trois ans (12'156 fr. au total : 36 mois). Il y a lieu de s'en tenir à ce dernier montant qui résulte des pièces produites, même si l'on peut douter, au vu des déclarations faites par l'intimé en appel, que la valeur locative déclarée au fisc représente la totalité des montants encaissés. Le revenu net ainsi estimé représente au total 3'460 fr. par mois. Il n'est pas contesté que seules les charges incompressibles suivantes doivent être prises en compte dans le budget de l'intimé: la base mensuelle OP (1'200 fr.), le loyer, la prime de l'assurance-maladie obligatoire et les frais de transports publics (41 fr. 65 comme allégué par l'intimé, soit le prix de l'abonnement annuel de 500 fr., mensualisé). Le loyer mensuel de l'intimé a été de 1'205 fr. jusqu'en août 2020; il est de 800 fr. depuis septembre 2020. La prime d'assurance-maladie de l'intimé a été de 423 fr. par mois en 2020 (513 fr. - 90 fr); elle est de 484 fr. en 2021. Les charges mensuelles déterminantes se sont donc élevées à 2'870 fr. de mai à août 2020 et à 2'465 fr. de septembre à décembre 2020; elles représentent 2'526 fr. depuis janvier 2021. Le disponible mensuel de l'intimé a ainsi été de 590 fr. de mai à août 2020 et de l'ordre de 990 fr. de septembre à décembre 2020; il est de l'ordre de 930 fr. depuis janvier 2021. La charge d'entretien (800 fr. actuellement et 900 fr. à partir de juin 2021) se révèle donc déséquilibrée par rapport au revenu et au disponible actuel de l'intimé.</w:t>
      </w:r>
    </w:p>
    <w:p>
      <w:r>
        <w:rPr>
          <w:b/>
        </w:rPr>
        <w:t>E. 4.2.2</w:t>
      </w:r>
    </w:p>
    <w:p>
      <w:r>
        <w:t>Dans la mesure où les parents disposent de moyens financiers limités, les coûts directs de l'appelant doivent être établis, comme pour l'intimé, selon les lignes directrices pour le calcul du minimum d'existence en matière de poursuites. Il y a donc lieu de prendre en compte la base mensuelle OP, soit 600 fr., la participation de l'enfant au loyer de sa mère, soit 88 fr. 80, les frais de transports publics, soit 45 fr. (admis par l'intimé lors de son interrogatoire par la Cour) et les frais particuliers de santé. Dans la mesure où les frais médicaux non remboursés en 2020 étaient liés à une intervention particulière subie par l'enfant, il se justifie de prendre en compte le montant retenu par le premier juge, à savoir approximativement 30 fr. par mois. Les autres postes de charges allégués par l'appelant soit excèdent le cadre de la méthode applicable, soit ne concernent pas des frais récurrents. Les besoins de l'enfant représentent donc mensuellement un montant arrondi à 765 fr., dont à déduire 300 fr. d'allocations familiales, soit 465 fr.</w:t>
      </w:r>
    </w:p>
    <w:p>
      <w:r>
        <w:rPr>
          <w:b/>
        </w:rPr>
        <w:t>E. 4.2.3</w:t>
      </w:r>
    </w:p>
    <w:p>
      <w:r>
        <w:t>L'équité conduit à fixer la contribution mensuelle d'entretien litigieuse, allocations familiales non comprises, à 530 fr. de mai à août 2020, puis à 650 fr. à</w:t>
      </w:r>
    </w:p>
    <w:p>
      <w:r>
        <w:t>- 22/24 -</w:t>
      </w:r>
    </w:p>
    <w:p>
      <w:r>
        <w:t>C/2511/2019 compter de septembre 2020 et jusqu'à la majorité de l'enfant, voire au-delà en cas de formation ou d'études sérieuses et régulières. Vu les moyens financiers limités des intéressés, la différence entre les montants ainsi calculés et ceux des contributions fixées en 2009 est significative et justifie une modification du jugement du 8 septembre 2009. L'excédent de 185 fr. attribué à l'appelant dès septembre 2020 lui permet de financer notamment ses frais scolaires (non justifiés par pièces) et ses loisirs. Le chiffre 3 du dispositif du jugement attaqué sera modifié dans le sens qui précède; le chiffre 4 de ce même dispositif sera annulé.</w:t>
      </w:r>
    </w:p>
    <w:p>
      <w:r>
        <w:rPr>
          <w:b/>
        </w:rPr>
        <w:t>E. 5.1</w:t>
      </w:r>
    </w:p>
    <w:p>
      <w:r>
        <w:t>Lorsque la Cour statue à nouveau, elle se prononce sur les frais fixés par l'autorité inférieure (art. 318 al. 3 CPC).</w:t>
      </w:r>
    </w:p>
    <w:p>
      <w:r>
        <w:t>En l'espèce, la décision du Tribunal de fixer les frais judiciaires de première instance à 1'060 fr. et de les répartir par moitié entre les parties est conforme au droit tant en ce qui concerne la quotité des frais (art. 32 RTFMC) que, vu l'issue du litige et le caractère familial de celui-ci, leur répartition (art. 106 al. 2 et 107 al. 1 let. c CPC). Le même raisonnement s'applique à la décision sur les dépens.</w:t>
      </w:r>
    </w:p>
    <w:p>
      <w:r>
        <w:t>Partant, les chiffres 10 et 12 du dispositif du jugement attaqué seront confirmés.</w:t>
      </w:r>
    </w:p>
    <w:p>
      <w:r>
        <w:rPr>
          <w:b/>
        </w:rPr>
        <w:t>E. 5.2</w:t>
      </w:r>
    </w:p>
    <w:p>
      <w:r>
        <w:t>Les frais judiciaires des appels principal et joint seront arrêtés à 1'250 fr. (art. 95 al. 2 et 105 al. 1 CPC; art. 32 et 35 RTFMC) et seront mis à la charge des parties pour moitié chacune, compte tenu de l'issue et de la nature du litige (art. 106 al. 2 et 107 let. c CPC). Dans la mesure où les parties plaident toutes deux au bénéfice de l'assistance juridique, les frais judiciaires seront provisoirement supportés par l'Etat de Genève (art. 122 al. 1 let. b et 123 CPC et 19 RAJ).</w:t>
      </w:r>
    </w:p>
    <w:p>
      <w:r>
        <w:t>Chaque partie supportera ses propres dépens d'appel (art. 107 al. 1 let c. CPC). * * * * *</w:t>
      </w:r>
    </w:p>
    <w:p>
      <w:r>
        <w:t>- 23/24 -</w:t>
      </w:r>
    </w:p>
    <w:p>
      <w:r>
        <w:t>C/2511/2019 PAR CES MOTIFS, La Chambre civile : A la forme : Déclare recevable l'appel formé le 6 juillet 2020 par A______ contre les chiffres 2 à 4 du dispositif du jugement JTPI/6642/2020 rendu le 28 mai 2020 par le Tribunal de première instance dans la cause C/2511/2019-13. Déclare recevable l'appel joint formé le 8 septembre 2020 par C______ contre le chiffre 3 du dispositif du même jugement. Au fond : Annule les chiffres 3 et 4 du dispositif du jugement attaqué et, statuant à nouveau sur ces points : Condamne C______ à verser en mains de B______, par mois et d'avance, allocations familiales non comprises, à titre de contribution à l'entretien de leur fils A______, né le ______ 2006, 530 fr. de mai à août 2020, puis 650 fr. à compter de septembre 2020 et jusqu'à la majorité de l'enfant, voire au-delà en cas de formation ou d'études sérieuses et régulières. Confirme le jugement attaqué pour le surplus. Déboute les parties de toutes autres conclusions. Sur les frais : Arrête les frais judiciaires d'appel à 1'250 fr. et les met à la charge de chacune des parties par moitié. Dit que les frais judiciaires d'appel sont provisoirement supportés par l'État de Genève. Dit que chaque partie supporte ses propres dépens d'appel.</w:t>
      </w:r>
    </w:p>
    <w:p>
      <w:r>
        <w:t>- 24/24 -</w:t>
      </w:r>
    </w:p>
    <w:p>
      <w:r>
        <w:t>C/2511/2019</w:t>
      </w:r>
    </w:p>
    <w:p>
      <w:r>
        <w:t>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