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ACJC/404/2019 vom 28. November 2018</w:t>
      </w:r>
    </w:p>
    <w:p>
      <w:r>
        <w:t>GE Cour de justice, 2018-11-28, FR</w:t>
      </w:r>
    </w:p>
    <w:p>
      <w:r>
        <w:rPr>
          <w:b/>
        </w:rPr>
        <w:t xml:space="preserve">Quelle: </w:t>
      </w:r>
      <w:r>
        <w:t>https://mcp.opencaselaw.ch/entscheid/ge_gerichte_ACJC_404_2019</w:t>
      </w:r>
    </w:p>
    <w:p>
      <w:r>
        <w:t>FR: GE_GERICHTE ACJC/404/2019 du 28 novembre 2018</w:t>
      </w:r>
    </w:p>
    <w:p>
      <w:r>
        <w:t>IT: GE_GERICHTE ACJC/404/2019 del 28 novembre 2018</w:t>
      </w:r>
    </w:p>
    <w:p>
      <w:pPr>
        <w:pStyle w:val="Heading2"/>
      </w:pPr>
      <w:r>
        <w:t>Erwägungen</w:t>
      </w:r>
    </w:p>
    <w:p>
      <w:r>
        <w:rPr>
          <w:b/>
        </w:rPr>
        <w:t>E. 1.1</w:t>
      </w:r>
    </w:p>
    <w:p>
      <w:r>
        <w:t>Interjetés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dans son ensemble non pécuniaire, puisque portant notamment sur l'annulation de mesures d'éloignement, les appels formés sont recevables.</w:t>
      </w:r>
    </w:p>
    <w:p>
      <w:r>
        <w:t>Sont également recevables les écritures responsives ainsi que les déterminations subséquentes des parties (art. 248 let. d, 312 al. 1 et 314 al. 1 CPC; ATF 138 I 154 consid. 2.3.3; 137 I 195 consid. 2.3.1 = SJ 2011 I 345).</w:t>
      </w:r>
    </w:p>
    <w:p>
      <w:r>
        <w:t>Dirigés contre le même jugement et comportant des liens étroits, il se justifie de les joindre (art. 125 CPC) et de les traiter dans un seul arrêt. Par souci de simplification et pour respecter le rôle initial des parties, l'épouse sera désignée en qualité d'appelante et l'époux en qualité d'intimé.</w:t>
      </w:r>
    </w:p>
    <w:p>
      <w:r>
        <w:rPr>
          <w:b/>
        </w:rPr>
        <w:t>E. 1.2</w:t>
      </w:r>
    </w:p>
    <w:p>
      <w:r>
        <w:t>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w:t>
      </w:r>
    </w:p>
    <w:p>
      <w:r>
        <w:rPr>
          <w:b/>
        </w:rPr>
        <w:t>E. 1.3</w:t>
      </w:r>
    </w:p>
    <w:p>
      <w:r>
        <w:t>La fixation de la contribution d'entretien du conjoint dans le cadre de mesures protectrices de l'union conjugale est soumise à la maxime de disposition (art. 58 CPC; ATF 129 III 417 consid. 2.1.2; arrêts du Tribunal fédéral 5A_792/2016 du 23 janvier 2017 consid. 4.1; 5A_421/2015 du 21 janvier 2016 consid. 6.2.3) et à la maxime inquisitoire (art. 272 CPC; ATF 129 III 417 précité ibid).</w:t>
      </w:r>
    </w:p>
    <w:p>
      <w:r>
        <w:t>- 9/17 -</w:t>
      </w:r>
    </w:p>
    <w:p>
      <w:r>
        <w:t>C/28918/2017</w:t>
      </w:r>
    </w:p>
    <w:p>
      <w:r>
        <w:rPr>
          <w:b/>
        </w:rPr>
        <w:t>E. 1.4</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et 9, 12 et 13 du dispositif du jugement querellé, non remis en cause par les parties, sont entrés en force de chose jugée. Les chiffres 10 et 11 relatifs aux frais pourront encore être revus d'office en cas d'annulation de tout ou partie du jugement entrepris dans le cadre du présent appel (art. 318 al. 3 CPC).</w:t>
      </w:r>
    </w:p>
    <w:p>
      <w:r>
        <w:rPr>
          <w:b/>
        </w:rPr>
        <w:t>E. 1.5</w:t>
      </w:r>
    </w:p>
    <w:p>
      <w:r>
        <w:t>Le litige soumis à la Cour présente un élément d'extranéité en raison de la nationalité des parties.</w:t>
      </w:r>
    </w:p>
    <w:p>
      <w:r>
        <w:t>Au vu du domicile de ces dernières à Genève, les Tribunaux genevois sont compétents pour se prononcer sur le litige qui leur est soumis (art. 51 let. b, 59 et 63 al. 1 de la loi fédérale du 18 décembre 1987 sur le droit international privé [LDIP; RS 291]) et le droit suisse est applicable (art. 54 al. 1 let. a et 63 al. 2 LDIP), ce qui n'est au demeurant pas contesté par les parties.</w:t>
      </w:r>
    </w:p>
    <w:p>
      <w:r>
        <w:rPr>
          <w:b/>
        </w:rPr>
        <w:t>E. 2</w:t>
      </w:r>
    </w:p>
    <w:p>
      <w:r>
        <w:t>Les parties ont produit de nouvelles pièces.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 prozessordnung [ZPO], 2013, n. 26 ad art. 317 CPC).</w:t>
      </w:r>
    </w:p>
    <w:p>
      <w:r>
        <w:rPr>
          <w:b/>
        </w:rPr>
        <w:t>E. 2.2</w:t>
      </w:r>
    </w:p>
    <w:p>
      <w:r>
        <w:t>En l'espèce, les pièces n. 55 à 64 versées à la procédure par l'appelante ont été établies après le mois de mai 2018, date à laquelle la cause a été gardée à juger en première instance, de sorte qu'elles sont recevables, ainsi que les allégués de fait s'y rapportant, sous réserve du certificat médical établi le 30 avril 2018, qui aurait dû être produit devant le Tribunal.</w:t>
      </w:r>
    </w:p>
    <w:p>
      <w:r>
        <w:t>La pièce n. 20 produite par l'appelant n'est pas nouvelle. Les pièces n. 21 à 23 ont été établies après que la cause ait été gardée à juger en première instance, de sorte qu'elles sont recevables.</w:t>
      </w:r>
    </w:p>
    <w:p>
      <w:r>
        <w:rPr>
          <w:b/>
        </w:rPr>
        <w:t>E. 3</w:t>
      </w:r>
    </w:p>
    <w:p>
      <w:r>
        <w:t>L'appelante a modifié ses conclusions en appel.</w:t>
      </w:r>
    </w:p>
    <w:p>
      <w:r>
        <w:t>- 10/17 -</w:t>
      </w:r>
    </w:p>
    <w:p>
      <w:r>
        <w:t>C/28918/2017</w:t>
      </w:r>
    </w:p>
    <w:p>
      <w:r>
        <w:rPr>
          <w:b/>
        </w:rPr>
        <w:t>E. 3.1</w:t>
      </w:r>
    </w:p>
    <w:p>
      <w:r>
        <w:t>Selon l'art. 317 al. 2 CPC, la demande ne peut être modifiée que si les conditions fixées à l'art. 227 al. 1 CPC sont remplies (let. a) et si la modification repose sur des faits ou des moyens de preuve nouveaux (let. b).</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w:t>
      </w:r>
    </w:p>
    <w:p>
      <w:r>
        <w:rPr>
          <w:b/>
        </w:rPr>
        <w:t>E. 3.2</w:t>
      </w:r>
    </w:p>
    <w:p>
      <w:r>
        <w:t>En l'espèce, en première instance, l'appelante a élevé une prétention en paiement d'une contribution d'entretien de 1'360 fr. jusqu'au 31 décembre 2017 puis de 1'500 fr. depuis lors. L'appelante a toutefois, dans son acte d'appel du 10 décembre 2018, réduit ses conclusions à 810 fr. par mois, le dies a quo de la contribution d'entretien devant être fixé au 1er février 2018, procédé recevable devant la Cour, de sorte qu'elle est liée par lesdites conclusions réduites. En revanche, la modification des conclusions par l'appelante dans son écriture de réponse du 27 décembre 2018 en paiement d'une contribution de 960 fr. par mois ne repose sur aucun fait nouveau. L'appelante n'a pour le surplus pas motivé la modification desdites conclusions, de sorte qu'elle est irrecevable.</w:t>
      </w:r>
    </w:p>
    <w:p>
      <w:r>
        <w:rPr>
          <w:b/>
        </w:rPr>
        <w:t>E. 4</w:t>
      </w:r>
    </w:p>
    <w:p>
      <w:r>
        <w:t>Les parties remettent toutes deux en cause le montant de la contribution à l'entretien de l'appelante, l'intimé contestant le principe même du versement d'une contribution d'entretien en faveur de son épouse, et reprochent au Tribunal une appréciation erronée de leur situation financière respective. L'intimé fait également grief au premier juge de ne pas avoir imputé de revenu hypothétique à l'appelante.</w:t>
      </w:r>
    </w:p>
    <w:p>
      <w:r>
        <w:rPr>
          <w:b/>
        </w:rPr>
        <w:t>E. 4.1</w:t>
      </w:r>
    </w:p>
    <w:p>
      <w:r>
        <w:t>En cas de suspension de la vie commune, la loi prévoit que le juge fixe les contributions d'entretien à verser respectivement aux enfants et à l'époux (art. 176 al. 1 ch. 1 CC). Selon la jurisprudence, même lorsqu'on ne peut plus sérieusement compter sur la reprise de la vie commune, l'art. 163 CC demeure la cause de l'obligation d'entretien réciproque des époux pendant la durée des mesures protectrices.</w:t>
      </w:r>
    </w:p>
    <w:p>
      <w:r>
        <w:rPr>
          <w:b/>
        </w:rPr>
        <w:t>E. 4.2</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w:t>
      </w:r>
    </w:p>
    <w:p>
      <w:r>
        <w:t>- 11/17 -</w:t>
      </w:r>
    </w:p>
    <w:p>
      <w:r>
        <w:t>C/28918/2017 Kindesunterhalt: Rechtliche Grundlagen und praktische Heraus-forderungen - heute und demnächst, in FamPra 2016, p. 4; STOUDMANN, Le nouveau droit de l'entretien de l'enfant en pratique, RMA 2016, p. 431).</w:t>
      </w:r>
    </w:p>
    <w:p>
      <w:r>
        <w:t>L'une des méthodes pour calculer le montant de la contribution d'entretien est celle du minimum vital avec participation à l'excédent, qui consiste à prendre en considération le minimum vital du droit des poursuites auquel sont ajoutées les dépenses 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pendant le travail, les impôts lorsque les conditions financières des époux sont favorables (arrêt du Tribunal fédéral 5C_282/2002 du 27 mars 2003 consid. 2; FamPra 2003 p. 678; ATF 127 III 68; 126 III 353 = JdT 2002 I 62; 127 III 68 consid. 2b = JdT 2001 I 562; 127 III 289 consid 2a/bb = JdT 2002 I 236).</w:t>
      </w:r>
    </w:p>
    <w:p>
      <w:r>
        <w:t>Les frais de véhicule peuvent être pris en considération s'ils sont nécessaires à l'exercice d'une profession (ATF 110 III 17 consid. 2b; arrêts du Tribunal fédéral 5A_65/2013 du 4 septembre 2013 consid. 3.1.2 et 5A_837/2010 du 11 février 2011 consid. 3.2; BASTONS BULLETTI, L'entretien après divorce : Méthodes de calcul, montant, durée et limites in SJ 2007 II 77, note 51).</w:t>
      </w:r>
    </w:p>
    <w:p>
      <w:r>
        <w:t>Le minimum vital du débirentier doit en principe être préservé (ATF 137 III 59 consid. 4.2).</w:t>
      </w:r>
    </w:p>
    <w:p>
      <w:r>
        <w:rPr>
          <w:b/>
        </w:rPr>
        <w:t>E. 4.3</w:t>
      </w:r>
    </w:p>
    <w:p>
      <w:r>
        <w:t>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w:t>
      </w:r>
    </w:p>
    <w:p>
      <w:r>
        <w:t>Lorsque le juge entend tenir compte d'un revenu hypothétique, il doit examiner successivement deux conditions. Il doit d'abord déterminer si l'on peut</w:t>
      </w:r>
    </w:p>
    <w:p>
      <w:r>
        <w:t>- 12/17 -</w:t>
      </w:r>
    </w:p>
    <w:p>
      <w:r>
        <w:t>C/28918/2017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C'est pourquoi on accorde généralement au débiteur un certain délai pour s'organiser à ces fins (ATF 129 III 417 consid. 2.2; 114 II 13 consid. 5; arrêt du Tribunal fédéral 5A_651/2014 du 27 janvier 2015 consid. 3.1 et la jurisprudence citée).</w:t>
      </w:r>
    </w:p>
    <w:p>
      <w:r>
        <w:rPr>
          <w:b/>
        </w:rPr>
        <w:t>E. 4.4</w:t>
      </w:r>
    </w:p>
    <w:p>
      <w:r>
        <w:t>Le Tribunal a appliqué la méthode du minimum vital avec répartition de l'excédent, laquelle n'est pas remise en cause par les parties et est conforme à leur situation.</w:t>
      </w:r>
    </w:p>
    <w:p>
      <w:r>
        <w:t>Il convient en premier lieu de déterminer les revenus et les charges des parties.</w:t>
      </w:r>
    </w:p>
    <w:p>
      <w:r>
        <w:rPr>
          <w:b/>
        </w:rPr>
        <w:t>E. 4.4.1</w:t>
      </w:r>
    </w:p>
    <w:p>
      <w:r>
        <w:t>L'appelante travaille depuis le 1er octobre 2017 comme ______, à raison de 20 heures par semaine en moyenne. En appel, elle a allégué que son revenu s'était élevé à 1'936 fr. 40 en 2018, montant que l'intimé conteste, estimant qu'il convient d'y ajouter le droit aux vacances (8.33 %), de sorte que son revenu mensuel est de 2'097 fr. (8.33 % x 1'936 fr. 40). Il résulte toutefois du certificat de salaire produit pour l'année 2018 que le revenu net mensuel moyen de l'appelante était de 1'965 fr., les vacances étant incluses. Il convient dès lors de retenir ce montant de 1'965 fr.</w:t>
      </w:r>
    </w:p>
    <w:p>
      <w:r>
        <w:t>L'intimé soutient qu'il se justifie d'imputer à l'appelante un revenu hypothétique, dès lors qu'elle avait jusqu'au mois de janvier 2018 travaillé à plein temps et qu'elle est désormais en mesure de prendre une activité à 100%. Ce raisonnement ne saurait être suivi. En effet, depuis le mois de février 2018, l'appelante présente une incapacité de travailler à 50%. Cette incapacité à exercer une activité lucrative supérieure a été renouvelée chaque mois par le médecin traitant de l'appelante, de sorte qu'il est rendu vraisemblable qu'elle ne peut, en l'état, exercer une activité lucrative à un taux plus élevé. Dès lors, la Cour renoncera à fixer un revenu hypothétique à l'appelante, étant donné le caractère sommaire et provisoire des mesures protectrices de l'union conjugale.</w:t>
      </w:r>
    </w:p>
    <w:p>
      <w:r>
        <w:t>Ainsi, les revenus mensuels nets de l'appelante sont de 1'965 fr.</w:t>
      </w:r>
    </w:p>
    <w:p>
      <w:r>
        <w:t>- 13/17 -</w:t>
      </w:r>
    </w:p>
    <w:p>
      <w:r>
        <w:t>C/28918/2017</w:t>
      </w:r>
    </w:p>
    <w:p>
      <w:r>
        <w:rPr>
          <w:b/>
        </w:rPr>
        <w:t>E. 4.4.2</w:t>
      </w:r>
    </w:p>
    <w:p>
      <w:r>
        <w:t>Les charges mensuelles non contestées de l'appelante se composent de 1'360 fr. de loyer (charges comprises) et 1'200 fr. de montant de base OP.</w:t>
      </w:r>
    </w:p>
    <w:p>
      <w:r>
        <w:t>Contrairement à ce que soutient l'intimé, le montant de la prime LAMal n'est pas de 376 fr. (tel que figurant sur les décomptes de l'Hospice général), mais de 401 fr. arrondis (490 fr. 90 – 90 fr.), le montant maximal du subside s'élevant à 90 fr. par mois (art. 22 de la Loi d’application de la loi fédérale sur l’assurance- maladie LaLAMal - RS GE J 3 05). Selon l'attestation d'assurance produite, le montant des frais médicaux non couverts de l'appelante était de 1'000 fr. en 2018, représentant 83 fr. par mois.</w:t>
      </w:r>
    </w:p>
    <w:p>
      <w:r>
        <w:t>Concernant les frais de véhicule, l'appelante a rendu vraisemblable la nécessité d'utiliser son véhicule à des fins professionnelles, tel que cela a été attesté par son employeur. C'est dès lors à bon droit que le premier juge a pris en considération un montant de 304 fr. à ce titre.</w:t>
      </w:r>
    </w:p>
    <w:p>
      <w:r>
        <w:t>Il s'ensuit que le montant des charges mensuelles admissibles de l'appelante est de 3'348 fr. (1'360 fr., 1'200 fr., 401 fr., 83 fr. et 304 fr.). Le déficit mensuel de l'appelante s'élève ainsi à 1'383 fr. (3'348 fr. – 1'965 fr.).</w:t>
      </w:r>
    </w:p>
    <w:p>
      <w:r>
        <w:rPr>
          <w:b/>
        </w:rPr>
        <w:t>E. 4.4.3</w:t>
      </w:r>
    </w:p>
    <w:p>
      <w:r>
        <w:t>L'intimé allègue avoir perçu le montant brut total de 6'218 fr. 80 à titre de droit aux vacances pour l'année 2017, en sus du salaire versé par son employeur, correspondant, conformément à ses fiches de salaire (déduction de 29,206% du montant brut), à un montant net total de 4'402 fr. 55 (70,794% de 6'218 fr. 80). Outre que l'intimé n'a pas produit de pièces relatives à cette allégation, les retenues globales sur le salaire brut de l'appelant sont de 19,53%, et non de 29,206%.</w:t>
      </w:r>
    </w:p>
    <w:p>
      <w:r>
        <w:t>Selon le certificat de salaire pour l'année 2017, l'intimé a réalisé un salaire annuel net de 44'654 fr. Le droit aux vacances, de 10,6%, représente ainsi un montant net de 4'733 fr. 32, de sorte que son revenu annuel net, vacances comprises, s'élève ainsi à 49'387 fr. 32, soit un salaire net mensualisé de 4'116 fr. arrondis. De ce montant est prélevé l'impôt à la source, de 460 fr. 85 (5'530 fr. /12), de sorte que le revenu mensuel net impôt déduit est de 3'655 fr. 15.</w:t>
      </w:r>
    </w:p>
    <w:p>
      <w:r>
        <w:t>En sus, l'intimé perçoit une indemnité de repas, non soumise à cotisations sociales et à l'impôt à la source, de 25 fr. par jour de travail, soit 525 fr. en moyenne par mois (21 jours de travail x 25 fr.).</w:t>
      </w:r>
    </w:p>
    <w:p>
      <w:r>
        <w:t>Partant, le salaire mensuel net de l'appelant s'élève ainsi à 4'180 fr. arrondis.</w:t>
      </w:r>
    </w:p>
    <w:p>
      <w:r>
        <w:rPr>
          <w:b/>
        </w:rPr>
        <w:t>E. 4.4.4</w:t>
      </w:r>
    </w:p>
    <w:p>
      <w:r>
        <w:t>Les charges mensuelles de l'intimé telles que retenues par le Tribunal et non contestées se composent de 1'497 fr. de loyer, 451 fr. 10 d'assurance-maladie LAMal et 1'200 fr. de montant de base OP.</w:t>
      </w:r>
    </w:p>
    <w:p>
      <w:r>
        <w:t>- 14/17 -</w:t>
      </w:r>
    </w:p>
    <w:p>
      <w:r>
        <w:t>C/28918/2017</w:t>
      </w:r>
    </w:p>
    <w:p>
      <w:r>
        <w:t>Il ne se justifie pas de prendre en compte des frais de véhicule, tels qu'allégués par l'intimé. En effet, s'il a certes démontré que l'utilisation de son véhicule privé est nécessaire dans l'exercice de son activité professionnelle, la convention collective contraint l'employeur à verser à ce titre 0 fr. 60 par kilomètre à l'intimé (art. 60 al. 3 CCT). Comme l'a retenu à bon droit le premier juge, il convient d'admettre le montant de l'abonnement de bus, soit 70 fr. par mois.</w:t>
      </w:r>
    </w:p>
    <w:p>
      <w:r>
        <w:t>S'agissant des frais médicaux non pris en charge par l'assurance, l'intimé n'a versé qu'une seule pièce concernant l'année 2018, faisant état d'un montant de 421 fr. 35, représentant 35 fr. par mois. La prime d'assurance-ménage fait partie du montant de base de droit des poursuites. Par ailleurs, compte tenu de la situation financière serrée des parties, ce poste ne peut pas être pris en compte. Il en va de même du remboursement mensuel de 80 fr. de l'assistance judiciaire.</w:t>
      </w:r>
    </w:p>
    <w:p>
      <w:r>
        <w:t>Ainsi, les charges mensuelles admissibles de l'intimé sont de 3'253 fr. 10.</w:t>
      </w:r>
    </w:p>
    <w:p>
      <w:r>
        <w:t>Le budget de l'intimé présente un solde positif de 927 fr. arrondis.</w:t>
      </w:r>
    </w:p>
    <w:p>
      <w:r>
        <w:t>Depuis le 1er janvier 2019, en raison de l'augmentation de la prime d'assurance- maladie de base, les charges mensuelles de l'intimé représentent 3'270 fr. 60 et lui laissent un disponible de 909 fr. arrondis.</w:t>
      </w:r>
    </w:p>
    <w:p>
      <w:r>
        <w:rPr>
          <w:b/>
        </w:rPr>
        <w:t>E. 4.4.5</w:t>
      </w:r>
    </w:p>
    <w:p>
      <w:r>
        <w:t>Dès lors que le déficit de l'appelante est de 1'383 fr., l'intimé doit consacrer l'intégralité de son solde disponible pour le couvrir.</w:t>
      </w:r>
    </w:p>
    <w:p>
      <w:r>
        <w:t>Toutefois, la Cour est liée par les conclusions de l'appelante, compte tenu de la maxime de disposition applicable à la contribution d'entretien entre époux (consid. 1.3), de sorte que l'intimé sera par conséquent condamné à verser à l'appelante, par mois et d'avance, un montant de 810 fr. à titre de contribution à son entretien.</w:t>
      </w:r>
    </w:p>
    <w:p>
      <w:r>
        <w:t>Le chiffre 2 du dispositif du jugement sera dès lors modifié dans le sens qui précède.</w:t>
      </w:r>
    </w:p>
    <w:p>
      <w:r>
        <w:rPr>
          <w:b/>
        </w:rPr>
        <w:t>E. 4.5</w:t>
      </w:r>
    </w:p>
    <w:p>
      <w:r>
        <w:t>L'intimé sollicite l'annulation du chiffre 3 du dispositif de la décision entreprise. Il n'a toutefois formulé aucun grief concernant le dies a quo retenu par le Tribunal. Ledit dies a quo ne sera pas conséquent pas examiné par la Cour.</w:t>
      </w:r>
    </w:p>
    <w:p>
      <w:r>
        <w:rPr>
          <w:b/>
        </w:rPr>
        <w:t>E. 5</w:t>
      </w:r>
    </w:p>
    <w:p>
      <w:r>
        <w:t>L'intimé invoque une violation de la maxime de disposition (art. 58 al. 1 CPC) concernant le prononcé de mesures d'éloignement. L'appelante se rapporte à justice sur ce point.</w:t>
      </w:r>
    </w:p>
    <w:p>
      <w:r>
        <w:rPr>
          <w:b/>
        </w:rPr>
        <w:t>E. 5.1</w:t>
      </w:r>
    </w:p>
    <w:p>
      <w:r>
        <w:t>Selon le principe de disposition consacré par l'art. 58 al. 1 CPC, le tribunal ne peut pas allouer à une partie plus ou autre chose que ce qu'elle a demandé, ni moins que ce qui est reconnu par la partie adverse (arrêt du Tribunal fédéral 4A_397/2016 du 30 novembre 2016, consid. 2.1).</w:t>
      </w:r>
    </w:p>
    <w:p>
      <w:r>
        <w:t>- 15/17 -</w:t>
      </w:r>
    </w:p>
    <w:p>
      <w:r>
        <w:t>C/28918/2017</w:t>
      </w:r>
    </w:p>
    <w:p>
      <w:r>
        <w:t>Cette disposition, qui s'applique aussi aux mesures d'éloignement, consacre le principe ne eat iudex ultra petita partium, qui signifie que le demandeur détermine librement l'étendue de la prestation qu'il déduit en justice, alors que le défendeur décide de la mesure dans laquelle il veut se soumettre à l'action.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(ATF 129 V 450 consid. 3.2; ATF 120 II 172 consid. 3a; arrêts du Tribunal fédéral 5A_527/2016 du 16 novembre 2016 consid. 3.3.1; 4A_627/2015 du 9 juin 2016 consid. 5.2 et les références citées).</w:t>
      </w:r>
    </w:p>
    <w:p>
      <w:r>
        <w:t>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 ATF 120 II 172 consid. 3a).</w:t>
      </w:r>
    </w:p>
    <w:p>
      <w:r>
        <w:rPr>
          <w:b/>
        </w:rPr>
        <w:t>E. 5.2</w:t>
      </w:r>
    </w:p>
    <w:p>
      <w:r>
        <w:t>L'art. 28b al. 1 CC prévoit qu'en cas de violence, de menaces ou de harcèlement, le demandeur peut requérir du juge d'interdire à l'auteur de l'atteinte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w:t>
      </w:r>
    </w:p>
    <w:p>
      <w:r>
        <w:t>On entend par violence, l'atteinte directe à l'intégrité physique, psychique, sexuelle ou sociale d'une personne, cette atteinte devant présenter un certain degré d'intensité et tout comportement socialement incorrect n'étant pas constitutif d'une atteinte à la personnalité.</w:t>
      </w:r>
    </w:p>
    <w:p>
      <w:r>
        <w:t>Il doit exister 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w:t>
      </w:r>
    </w:p>
    <w:p>
      <w:r>
        <w:t>Cette menace doit engendrer une grande peur chez la personne visée et doit survenir de manière répétée (arrêt du Tribunal fédéral 5A_112/2008 du 14 avril 2008 consid. 2.1; FF 2005 p. 6450; cf. également ATF 129 IV 262 consid. 2.3 et les références).</w:t>
      </w:r>
    </w:p>
    <w:p>
      <w:r>
        <w:t>Lorsqu'il prend des mesures pour protéger la victime, par le biais d'une injonction telle qu'une interdiction de pénétrer dans un périmètre donné, le juge doit</w:t>
      </w:r>
    </w:p>
    <w:p>
      <w:r>
        <w:t>- 16/17 -</w:t>
      </w:r>
    </w:p>
    <w:p>
      <w:r>
        <w:t>C/28918/2017 respecter le principe fondamental de la proportionnalité et prendre la mesure adaptée à chaque cas, qui soit suffisamment efficace pour la victime mais la moins incisive pour l'auteur de l'atteinte (FF 2005 p. 6451).</w:t>
      </w:r>
    </w:p>
    <w:p>
      <w:r>
        <w:rPr>
          <w:b/>
        </w:rPr>
        <w:t>E. 5.3</w:t>
      </w:r>
    </w:p>
    <w:p>
      <w:r>
        <w:t>En l'espèce, il résulte de la procédure qu'à la dernière audience devant le Tribunal, l'appelante a précisé que les seules conclusions encore litigieuses concernaient la contribution à son entretien. Durant l'instruction en première instance, elle n'a pas fait état de violences de son époux, ni n'a produit de titres y relatif.</w:t>
      </w:r>
    </w:p>
    <w:p>
      <w:r>
        <w:t>Dans ces circonstances, c'est à tort que le Tribunal a prononcé les mesures d'éloignement, celles-ci n'étant plus requises par l'appelante. Il a ainsi violé la maxime de disposition.</w:t>
      </w:r>
    </w:p>
    <w:p>
      <w:r>
        <w:rPr>
          <w:b/>
        </w:rPr>
        <w:t>E. 5.4</w:t>
      </w:r>
    </w:p>
    <w:p>
      <w:r>
        <w:t>Par conséquent, les chiffres 5 à 8 du dispositif du jugement seront annulés.</w:t>
      </w:r>
    </w:p>
    <w:p>
      <w:r>
        <w:rPr>
          <w:b/>
        </w:rPr>
        <w:t>E. 6</w:t>
      </w:r>
    </w:p>
    <w:p>
      <w:r>
        <w:t>Si l'instance d'appel statue à nouveau, elle se prononce sur les frais de la première instance (art. 318 al. 3 CPC).</w:t>
      </w:r>
    </w:p>
    <w:p>
      <w:r>
        <w:rPr>
          <w:b/>
        </w:rPr>
        <w:t>E. 6.1</w:t>
      </w:r>
    </w:p>
    <w:p>
      <w:r>
        <w:t>Les frais de première instance ne sont pas remis en cause par les parties et, étant conformes aux dispositions applicables, ils seront confirmés.</w:t>
      </w:r>
    </w:p>
    <w:p>
      <w:r>
        <w:rPr>
          <w:b/>
        </w:rPr>
        <w:t>E. 6.2</w:t>
      </w:r>
    </w:p>
    <w:p>
      <w:r>
        <w:t>Les frais judiciaires de la procédure d'appel seront arrêtés à 2'000 fr., y compris la décision sur effet suspensif (art. 30 al. 1 et 35 RTFMC) et seront mis à la charge des parties pour moitié chacune (art. 104 al. 1, 105, 106 et 107 al. 1 let. c CPC). Dès lors qu'elles plaident toutes deux au bénéfice de l'assistance judiciaire (art. 122 al. 2 CPC), les frais seront provisoirement laissés à la charge de l'Etat, qui pourra en demander le remboursement ultérieurement (art. 123 CPC).</w:t>
      </w:r>
    </w:p>
    <w:p>
      <w:r>
        <w:rPr>
          <w:b/>
        </w:rPr>
        <w:t>E. 6.3</w:t>
      </w:r>
    </w:p>
    <w:p>
      <w:r>
        <w:t>Compte tenu de la nature familiale du litige, il ne sera pas alloué de dépens d'appel (art. 95 al. 3, 105 al. 2 et 107 al. 1 let. c CPC).</w:t>
      </w:r>
    </w:p>
    <w:p>
      <w:r>
        <w:rPr>
          <w:b/>
        </w:rPr>
        <w:t>E. 7</w:t>
      </w:r>
    </w:p>
    <w:p>
      <w:r>
        <w:t>L'arrêt de la Cour, statuant sur mesures protectrices de l'union conjugale, est susceptible d'un recours en matière civile, les moyens de recours étant toutefois limités selon l'art. 98 LTF. * * * * *</w:t>
      </w:r>
    </w:p>
    <w:p>
      <w:r>
        <w:t>- 17/17 -</w:t>
      </w:r>
    </w:p>
    <w:p>
      <w:r>
        <w:t>C/28918/2017 PAR CES MOTIFS, La Chambre civile : A la forme : Déclare recevable les appels interjetés le 10 décembre 2018 par A______ contre le chiffre 2 du dispositif du jugement JTPI/18756/2018 et par B______ contre les chiffres 2, 3 et 5 à 8 dudit dispositif de ce jugement rendu le 28 novembre 2018 par le Tribunal de première instance dans la cause C/28918/2017-18. Au fond : Annule les chiffres 2, 5, 6, 7 et 8 de ce jugement. Cela fait et statuant à nouveau sur ces points : Condamne B______ à verser, par mois et d'avance, à A______, à titre de contribution à son entretien, la somme de 810 fr., dès le 1er février 2018. Confirme le jugement pour le surplus. Déboute les parties de toutes autres conclusions. Sur les frais : Arrête les frais judiciaires des appels à 2'000 fr., les met à la charge des parties pour moitié chacune et dit que ces frais sont provisoirement supportés par l'Etat de Genève. Dit que chaque partie supporte ses propres dépens. Siégeant : Madame Jocelyne DEVILLE-CHAVANNE, présidente; Mesdames Nathalie LANDRY-BARTHE et Verena PEDRAZZINI RIZZI,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