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ACJC/402/2021 vom 17. November 2020</w:t>
      </w:r>
    </w:p>
    <w:p>
      <w:r>
        <w:t>GE Cour de justice, 2020-11-17, FR</w:t>
      </w:r>
    </w:p>
    <w:p>
      <w:r>
        <w:rPr>
          <w:b/>
        </w:rPr>
        <w:t xml:space="preserve">Quelle: </w:t>
      </w:r>
      <w:r>
        <w:t>https://mcp.opencaselaw.ch/entscheid/ge_gerichte_ACJC_402_2021</w:t>
      </w:r>
    </w:p>
    <w:p>
      <w:r>
        <w:t>FR: GE_GERICHTE ACJC/402/2021 du 17 novembre 2020</w:t>
      </w:r>
    </w:p>
    <w:p>
      <w:r>
        <w:t>IT: GE_GERICHTE ACJC/402/2021 del 17 novembre 2020</w:t>
      </w:r>
    </w:p>
    <w:p>
      <w:pPr>
        <w:pStyle w:val="Heading2"/>
      </w:pPr>
      <w:r>
        <w:t>Erwägungen</w:t>
      </w:r>
    </w:p>
    <w:p>
      <w:r>
        <w:rPr>
          <w:b/>
        </w:rPr>
        <w:t>E. 1.1</w:t>
      </w:r>
    </w:p>
    <w:p>
      <w:r>
        <w:t>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w:t>
      </w:r>
    </w:p>
    <w:p>
      <w:r>
        <w:t>- 7/17 -</w:t>
      </w:r>
    </w:p>
    <w:p>
      <w:r>
        <w:t>C/24174/2019 En l'espèce, le litige porte notamment sur l'étendue des droits parentaux, soit sur une affaire non pécuniaire dans son ensemble, de sorte que la voie de l'appel est ouverte indépendamment de la valeur litigieuse (arrêts du Tribunal fédéral 5A_611/2019 du 29 avril 2020 consid. 1).</w:t>
      </w:r>
    </w:p>
    <w:p>
      <w:r>
        <w:rPr>
          <w:b/>
        </w:rPr>
        <w:t>E. 1.2</w:t>
      </w:r>
    </w:p>
    <w:p>
      <w:r>
        <w:t>Interjeté dans le délai utile de 10 jours suivant la notification de la décision querellée et selon la forme prescrite par la loi (art. 130, 131, 142, 248 let d, 311 al. 1 et 314 al. 1 CPC), l'appel est recevable. Sont également recevables la réponse ainsi que les réplique et duplique respectives, déposées dans les délais légaux, respectivement impartis à cet effet (art. 314 al. 1, 316 al. 1 CPC). Il en va de même de la réplique spontanée de l'appelant du 22 janvier 2021 (ATF 142 III 48 consid. 4.1.1).</w:t>
      </w:r>
    </w:p>
    <w:p>
      <w:r>
        <w:rPr>
          <w:b/>
        </w:rPr>
        <w:t>E. 2</w:t>
      </w:r>
    </w:p>
    <w:p>
      <w:r>
        <w:t>La cause présente un caractère international en raison de la nationalité étrangère de l'appelant. Compte tenu du domicile des parents et de l'enfant à Genève, les parties ne contestent, à juste titre, pas la compétence des autorités genevoises (art. 5 de la Convention de La Haye du 19 octobre 1996 sur la compétence, la loi applicable, la reconnaissance, l'exécution et la coopération en matière de responsabilité parentale; art. 59 et 64 al. 1 LDIP; 2 et 5 ch. 2 let. a CL) et l'application du droit suisse (art. 15 de la convention susvisée; art. 64 al. 2, 82 al. 1 et 83 al. 1 LDIP;</w:t>
      </w:r>
    </w:p>
    <w:p>
      <w:r>
        <w:rPr>
          <w:b/>
        </w:rPr>
        <w:t>E. 4</w:t>
      </w:r>
    </w:p>
    <w:p>
      <w:r>
        <w:t>Les parties ont produit des pièces nouvelles relatives à leur situation personnelle et financière ainsi qu'à celle de l'enfant.</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Cependant,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 Si le juge renonce à ordonner un nouvel échange d'écritures, il doit néanmoins transmettre la dernière prise de position aux autres parties pour qu'elles puissent faire valoir leur droit à la réplique (ATF 142 III 48 consid. 4.1.1; ATF 139 I 189 consid. 3.2; ATF 138 I 484 consid. 2.2; arrêts du Tribunal fédéral 2C_560/2012 du 21 janvier 2013 consid. 4.3, in RF 68/2013 p. 405; 5A_535/2012 du</w:t>
      </w:r>
    </w:p>
    <w:p>
      <w:r>
        <w:rPr>
          <w:b/>
        </w:rPr>
        <w:t>E. 4.2</w:t>
      </w:r>
    </w:p>
    <w:p>
      <w:r>
        <w:t>En l'espèce, les pièces nouvelles produites devant la Cour, qui accompagnaient le mémoire réponse ainsi que la réplique, sont susceptibles d'influencer la décision quant à l'attribution des droits parentaux et au montant de la contribution d'entretien en faveur de la fille mineure des parties, si bien qu'elles sont recevables, de même que les faits auxquels elles se rapportent. Les écritures spontanées des parties des 21, 22 et 29 janvier 2021, ainsi que celle du 11 février 2021, sont également recevables, dans la mesure où elles sont parvenues à la Cour dans les délais conformes à la jurisprudence du Tribunal fédéral relatives aux écritures spontanées. La question de la recevabilité des pièces 102 à 105 produites par B______ à l'appui de son écriture spontanée du 29 janvier 2021 peut toutefois demeurer indécise, dans la mesure où elles n'ont aucune pertinence pour l'issue du</w:t>
      </w:r>
    </w:p>
    <w:p>
      <w:r>
        <w:t>- 9/17 -</w:t>
      </w:r>
    </w:p>
    <w:p>
      <w:r>
        <w:t>C/24174/2019 présent litige. L'écriture spontanée du 15 mars 2021 est irrecevable, car tardive; il en va de même des pièces qui l'accompagnaient, au demeurant non pertinentes. 5. L'appelant reproche au Tribunal d'avoir modifié le régime de la garde de l'enfant à titre provisionnel sans avoir pris connaissance du rapport d'évaluation sociale en cours d'établissement et en contrevenant à l'intérêt de l'enfant.</w:t>
      </w:r>
    </w:p>
    <w:p>
      <w:r>
        <w:t>5.1.1 Après l'ouverture d'un procès en modification d'un jugement de divorce, le prononcé de mesures provisionnelles analogues à celles de l'art. 276 al. 1 CPC (art. 284 al. 3 CPC) est soumis à des conditions restrictives. Compte tenu de l'autorité de la chose jugée dont bénéficie le jugement de divorce, une modification ne peut être ordonnée, à titre de mesures provisionnelles dans un procès subséquent, qu'en cas d'urgence et en présence de circonstances particulières (arrêts du Tribunal fédéral 5A_274/2016 du 26 août 2016 consid. 4.1 et 5A_641/2015 du 3 mars 2016 consid. 4.1).</w:t>
      </w:r>
    </w:p>
    <w:p>
      <w:r>
        <w:t>En matière de garde, des changements trop fréquents peuvent être préjudiciables à l'intérêt de l'enfant. Par conséquent, lorsque la décision de mesures provisionnelles statue sur la garde ou modifie celle-ci, le bien de l'enfant commande, dans la règle, de maintenir les choses en l'état et de laisser celui-ci auprès de la personne qui lui sert actuellement de référence (arrêt du Tribunal fédéral 5A_792/2018 du 6 février 2019 consid. 3.2.2 et les références citées).</w:t>
      </w:r>
    </w:p>
    <w:p>
      <w:r>
        <w:t>5.2 En l'espèce, la situation s'est modifiée depuis le prononcé du jugement de divorce, dès lors que les parties ne partagent plus la garde de l'enfant depuis plusieurs années et que seule l'intimée en assume la garde de fait. En outre, il existe une urgence à statuer, dès lors que l'appelant entend désormais exercer la garde alternée telle que prévue dans le jugement de divorce. Or, une reprise de la garde alternée durant la procédure aurait pour conséquence de modifier l'état de fait qui prévaut depuis plusieurs années, ce qui aurait pour conséquence de créer de l'instabilité chez l'enfant, pour le cas où cette garde alternée ne serait pas confirmée dans le jugement au fond. C'est ainsi à juste titre que le Tribunal, sur mesures provisionnelles, a attribué la garde exclusive de l'enfant à sa mère, faisant ainsi coïncider sa décision avec la réalité de la situation familiale, sans préjudice de la décision au fond. Compte tenu de la crise sanitaire et de la volonté du père de vouloir exercer immédiatement la garde alternée sur l'enfant, le premier juge n'a, à raison, pas attendu que le SEASP rende son rapport pour statuer sur mesures provisionnelles, compte tenu de l'incertitude du délai dans lequel l'enquête sociale allait pouvoir être effectuée.</w:t>
      </w:r>
    </w:p>
    <w:p>
      <w:r>
        <w:t>L'appel est ainsi infondé à cet égard et le chiffre 2 du dispositif de l'ordonnance querellée sera confirmé.</w:t>
      </w:r>
    </w:p>
    <w:p>
      <w:r>
        <w:t>- 10/17 -</w:t>
      </w:r>
    </w:p>
    <w:p>
      <w:r>
        <w:t>C/24174/2019</w:t>
      </w:r>
    </w:p>
    <w:p>
      <w:r>
        <w:rPr>
          <w:b/>
        </w:rPr>
        <w:t>E. 6</w:t>
      </w:r>
    </w:p>
    <w:p>
      <w:r>
        <w:t>L'appelant conclut à l'annulation des chiffres 3 à 5 du dispositif de l'ordonnance, fixant l'étendue de son droit de visite et instaurant une curatelle d'organisation et de surveillance du droit de visite.</w:t>
      </w:r>
    </w:p>
    <w:p>
      <w:r>
        <w:rPr>
          <w:b/>
        </w:rPr>
        <w:t>E. 6.1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dans chaque cas, la décision doit donc être prise de manière à répondre le mieux possible à ses besoins, l'intérêt des parents étant relégué à l'arrière-plan (ATF 130 III 585 consid. 2.1 et 2.2.1; arrêt du Tribunal fédéral 5A_669/2019 du 7 février 2020 consid. 6.3). A cet égard, il est unanimement reconnu que le rapport de l'enfant avec ses deux parents est essentiel et qu'il peut jouer un rôle décisif dans le processus de recherche d'identité de l'enfant (ATF 127 III 295 consid. 4a; arrêt du Tribunal fédéral 5A_334/2018 du 7 août 2018 consid. 3.1). La fixation du droit aux relations personnelles relève de l'appréciation du juge du fait, qui jouit pour cela d'un large pouvoir et applique les règles du droit et de l'équité (arrêts du Tribunal fédéral 5A_669/2019 précité consid. 6.3; 5A_334/2018 précité consid. 3.1 et les références citées).</w:t>
      </w:r>
    </w:p>
    <w:p>
      <w:r>
        <w:rPr>
          <w:b/>
        </w:rPr>
        <w:t>E. 6.2</w:t>
      </w:r>
    </w:p>
    <w:p>
      <w:r>
        <w:t>En l'espèce, l'appelant fait uniquement valoir que l'enfant désire passer plus de temps avec lui. De son côté, l'intimée, qui n'a pas appelé de l'ordonnance, relève que le droit de visite fixé sur mesures provisionnelles est plus étendu que celui réellement exercé jusque-là et que l'enfant refuse d'aller dormir chez son père le mercredi soir, préférant passer la nuit chez elle, à proximité de l'école. S'agissant de mesures provisionnelles rendues dans le cadre d'une procédure sommaire, il n'y a pas lieu d'entendre l'enfant sur ce point comme le voudrait l'intimée, C______ pouvant être auditionnée par le Tribunal avant que celui-ci ne statue définitivement. Il ressort pour le surplus de la procédure que jusqu'à présent l'enfant n'a pas régulièrement passé une nuit par semaine chez son père. Ce dernier vit à la rue 1______, alors que l'intimée habite la commune de D______ [GE], où se trouve également l'école de la mineure; les domiciles des deux parents sont ainsi distants d'une dizaine de kilomètres. Le droit de visite du mercredi soir au jeudi matin attribué à l'appelant par le Tribunal impliquerait par conséquent pour l'enfant C______ de se lever très tôt le jeudi matin, de manière à arriver à l'heure à l'école, en raison de la forte circulation présente à Genève en début de matinée. Or, une telle contrainte est déjà imposée à la mineure le lundi matin une semaine sur deux, de sorte qu'il ne se justifie pas, sur mesures provisionnelles, de prévoir un droit de visite excédant un week-end sur deux, du vendredi après l'école au lundi matin retour en classe.</w:t>
      </w:r>
    </w:p>
    <w:p>
      <w:r>
        <w:t>- 11/17 -</w:t>
      </w:r>
    </w:p>
    <w:p>
      <w:r>
        <w:t>C/24174/2019 Au vu de ce qui précède, le chiffre 3 du dispositif de l'ordonnance attaquée sera annulé et reformulé conformément à ce qui précède.</w:t>
      </w:r>
    </w:p>
    <w:p>
      <w:r>
        <w:rPr>
          <w:b/>
        </w:rPr>
        <w:t>E. 7</w:t>
      </w:r>
    </w:p>
    <w:p>
      <w:r>
        <w:t>Compte tenu de la modification de la répartition du droit de garde de l'enfant, c'est à bon droit que le Tribunal a statué sur la contribution due à son entretien.</w:t>
      </w:r>
    </w:p>
    <w:p>
      <w:r>
        <w:rPr>
          <w:b/>
        </w:rPr>
        <w:t>E. 7.1</w:t>
      </w:r>
    </w:p>
    <w:p>
      <w:r>
        <w:t>Selon l'art. 276 al. 1 CC, applicable par renvoi de l'art. 134 al. 2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(art. 276 al. 2 CC). Selon l’art. 285 al. 1 CC, la pension alimentaire doit correspondre, d’une part, aux besoins de l’enfant et, d’autre part, à la situation des parents ainsi qu’à leur capacité de paiement. L'obligation d’entretien envers un enfant mineur prime les autres obligations d’entretien du droit de la famille (art. 276a al. 1 CC). L'étendue de la contribution d'entretien ne dépend pas seulement des besoins directs de l'enfant (nourriture, vêtements, etc.) et du coût de sa prise en charge (contribution de prise en charge) mais également de la situation financière des parents. Il s’agit d’une notion dynamique qui dépend des moyens concrets, sans qu’il n’existe de limite supérieure ou inférieure (arrêt du Tribunal fédéral 5A_311/2019 du 20 novembre 2020 consid. 5.4 destiné à la publication). La loi ne prescrit pas de méthode de calcul relative à la fixation des aliments destinés aux enfants. Le Tribunal fédéral a toutefois décidé d'une méthode uniforme, devant s'appliquer dans toute la Suisse (arrêt du Tribunal fédéral 5A_311/2019 précité consid. 6.1). Il s'agit de la méthode concrète en deux étapes avec répartition de l'excédent, dans laquelle les ressources financières et les besoins des personnes concernées sont déterminés puis répartis entre les membres de la famille de manière à couvrir, dans un certain ordre, le minimum vital prévu par la loi sur les poursuites ou, si les ressources sont suffisantes, le minimum vital prévu par le droit de la famille, le surplus éventuel étant ensuite réparti de manière discrétionnaire en fonction de la situation spécifique (arrêt du Tribunal fédéral 5A_311/2019 précité consid. 6.6 et 7). Les revenus de l'enfant comprennent les allocations familiales et de formation (arrêt du Tribunal fédéral 5A_311/2019 précité consid. 7.1). Les « Directives de la Conférence des préposés des poursuites et des faillites de Suisse pour le calcul du minimum vital selon le droit des poursuites » constituent le point de départ pour la détermination des besoins et de la pension alimentaire</w:t>
      </w:r>
    </w:p>
    <w:p>
      <w:r>
        <w:t>- 12/17 -</w:t>
      </w:r>
    </w:p>
    <w:p>
      <w:r>
        <w:t>C/24174/2019 due. Chez l'enfant, au montant de base doivent être ajoutés les primes d'assurance- maladie, les frais scolaires et les frais de santé spéciaux. Doivent encore être pris en compte une part des frais de logement, à déduire des frais de logement du parent gardien, ainsi que les frais de soins externes (arrêt du Tribunal fédéral 5A_311/2019 précité consid. 7.2). Jusqu'à ce jour, le Tribunal fédéral a admis une part au loyer de 20% pour un enfant (arrêt du Tribunal fédéral 5A_952/2019 du 2 décembre 2020 consid. 5.3.3.3). Dans la mesure où les moyens financiers le permettent, la contribution d'entretien doit être étendue au minimum vital dit de droit familial. Chez les parents, il peut être tenu compte des impôts, d'un forfait communication et d'assurances, de frais de formation, de frais de logement correspondant à la situation financière plutôt qu'orienté vers le minimum vital selon le droit des poursuites, les frais d'exercice du droit de visite, voire le remboursement de dettes. En cas de situations plus élevées, il peut encore être tenu compte des primes d'assurance-maladie complémentaires. Chez les enfants, il peut être tenu compte d'une part d'impôts, d'une part des frais de logement correspondant aux circonstances financières concrètes et des primes d'assurance-maladie complémentaires. En revanche, doivent être exclus les frais de voyage, les hobbies, etc. qui seront financés, cas échéant, par la part excédentaire, comme les autres particularités du cas individuel (arrêt du Tribunal fédéral 5A_311/2019 précité consid. 7.2). Le ou les débiteurs d'aliments doivent toujours disposer de leur propre minimum vital en vertu de la loi sur les poursuites. Dans la mesure où le minimum vital des parents et des enfants mineurs prévu par le droit de la famille et adapté aux circonstances est couvert, les parents doivent couvrir les pensions alimentaires des adultes (ex-conjoint, enfants majeurs) à partir des fonds restants. Tout excédent qui en résulte, déduction faite d'un taux d'épargne prouvé (ATF 140 III 485 consid. 3.3), doit être réparti à raison d'une part d'excédent pour l'enfant ("petite tête") et de deux parts pour les adultes ("grandes têtes") (arrêt du Tribunal fédéral 5A_311/2019 précité consid. 7.3). Cela étant, en cas de situation financière nettement supérieure à la moyenne, la part d'excédent calculée de l'enfant doit être limitée pour des raisons éducatives, indépendamment du train de vie mené par les parents (arrêt du Tribunal fédéral 5A_311/2019 précité consid. 7.3). Si l'enfant est sous la garde exclusive de l'un des parents, vivant dans son foyer et ne voyant l'autre parent que dans le cadre du droit de visite et des vacances, le parent ayant la garde apporte sa contribution à l'entretien en nature en s'occupant de l'enfant et en l'élevant. Dans ce cas, dans le contexte de l'équivalence des aliments pécuniaires et en nature, les aliments pécuniaires incombent, en principe, entièrement à l'autre parent (arrêts du Tribunal fédéral 5A_311/2019 précité consid. 5.5 et 8.1 et les références citées ; 5A_450/2020 du 4 janvier 2021 consid. 5.3).</w:t>
      </w:r>
    </w:p>
    <w:p>
      <w:r>
        <w:t>- 13/17 -</w:t>
      </w:r>
    </w:p>
    <w:p>
      <w:r>
        <w:t>C/24174/2019 Toutefois,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du Tribunal fédéral 5A_311/2019 précité consid. 8.1 ; 5A_450/2020 du 4 janvier 2021 consid. 5.3).</w:t>
      </w:r>
    </w:p>
    <w:p>
      <w:r>
        <w:rPr>
          <w:b/>
        </w:rPr>
        <w:t>E. 7.2</w:t>
      </w:r>
    </w:p>
    <w:p>
      <w:r>
        <w:t>En l'espèce, il n'est pas rendu vraisemblable, en l'état, que l'une ou l'autre des parties vivrait en concubinage, de sorte qu'il sera retenu que chaque parent vit seul. L'intimée n'a pas rendu vraisemblable la diminution alléguée de 25% de son salaire, de sorte qu'un revenu mensuel net de 14'500 fr. sera retenu, étant précisé que même si son salaire était effectivement inférieur, cela ne modifierait pas l'issue de la présente procédure. Ses charges admissibles, compte tenu de la nouvelle jurisprudence du Tribunal fédéral et du niveau de vie aisé des parties, seront arrêtées à 9'147 fr. 40, arrondies à 9'150 fr., comprenant sa part du loyer (2'416 fr., soit 80% de 3'020 fr.), les primes d'assurance-maladie de base (479 fr. 45) et complémentaire (126 fr. 95), les frais médicaux non remboursés (105 fr.), les frais de transport (70 fr.), les impôts courants estimés compte tenu du versement d'une contribution d'entretien de l'ordre de 2'000 fr. par mois et d'une déduction pour charge de famille (55'130 fr. / 12 = 4'594 fr. arrondi à 4'600 fr.) et son entretien de base selon les normes OP (1'350 fr.). Elle dispose ainsi d'un solde mensuel de 5'350 fr. (14'500 fr. – 9'150 fr.), sans compter ses revenus immobiliers nets de 2'000 fr. par mois. L'appelant, qui a retrouvé sa pleine capacité de travail, réalise un salaire mensuel net de 11'800 fr. Ses charges admissibles s'élèvent à 5'636 fr. 50, arrondies à 5'640 fr., comprenant le loyer (1'692 fr.), la prime d'assurance-maladie de base (319 fr. 50) et complémentaire (55 fr.), les frais de transport (70 fr.), les impôts courants estimés compte tenu du versement d'une contribution d'entretien de l'ordre de 2'000 fr. par mois (27'339 fr. / 12 = 2'278 fr. arrondi à 2'300 fr.) et son entretien de base selon les normes OP (1'200 fr.). Son disponible mensuel est ainsi de 6'160 fr. (11'800 fr. – 5'640 fr.), sans compter ses revenus immobiliers de 600 fr. par mois. Dans la mesure où l'obligation d’entretien envers un enfant mineur est prioritaire, c'est à juste titre qu'il n'est pas tenu compte des aides financières apportées par l'appelant à ses parents en Italie.</w:t>
      </w:r>
    </w:p>
    <w:p>
      <w:r>
        <w:t>Les charges de l'enfant s'élèvent à 1'292 fr., arrondis à 1'290 fr., comprenant sa part au loyer (604 fr., soit 20% de 3'020 fr.), les primes d'assurance maladie de base (123 fr. 45) et complémentaire (23 fr. 55), les frais médicaux non couverts (20 fr.), les frais de parascolaire et de restaurant scolaire (176 fr., soit les frais de repas de 110 fr. [8 fr. 50 par repas x 4 jours x 4,33 semaines, sur 9 mois] et les frais de parascolaires qui y sont liés, dès lors que les enfants sont surveillés lorsqu'il vont à la cantine, de 66 fr. [88 fr. par mois, sur 9 mois, selon le site du</w:t>
      </w:r>
    </w:p>
    <w:p>
      <w:r>
        <w:t>- 14/17 -</w:t>
      </w:r>
    </w:p>
    <w:p>
      <w:r>
        <w:t>C/24174/2019 GIAP]), de ses frais de transports (45 fr.) et de son entretien de base selon les normes OP (600 fr.), sous déduction des allocations familiales (300 fr.). Conformément à la nouvelle jurisprudence du Tribunal fédéral, il n'est pas tenu compte des activités extrascolaires et des frais ponctuels de garde du soir, qui seront financés par la part de l'excédent revenant à l'enfant. En outre, des frais de fournitures scolaires n'ont pas été prouvés, étant relevé que l'Etat de Genève fournit gratuitement tout le matériel nécessaire aux écoliers.</w:t>
      </w:r>
    </w:p>
    <w:p>
      <w:r>
        <w:t>Comme la mère fournit principalement ses soins en exerçant la garde de fait de la mineure, le père doit en principe payer l'ensemble des frais de l'enfant. Après couverture des charges de l'enfant, la répartition de l'excédent du père à raison de 2/3 pour lui-même et 1/3 pour l'enfant, conduirait à attribuer une part d'excédent à l'enfant de 1'623 fr. [(6'160 fr. – 1'290 fr.) / 3] et à fixer la contribution à son entretien à 2'913 fr. (1'290 fr. + 1'623 fr.). Cela étant, compte tenu des besoins réels de l'enfant et pour des "raisons éducatives", il y lieu de limiter la contribution à son entretien, sur mesures provisionnelles, à 2'400 fr. par mois, montant correspondant aux conclusions de l'intimée, ce qui permettra à l'enfant de couvrir ses charges (1'290 fr.) ainsi que ses frais de loisirs et ses frais ponctuels de garde du soir durant la procédure. Après paiement de cette contribution, l'appelant bénéficiera d'un solde mensuel de 3'760 fr. (11'800 fr. – 5'640 fr. – 2'400 fr.), lui permettant de soutenir financièrement ses parents en Italie.</w:t>
      </w:r>
    </w:p>
    <w:p>
      <w:r>
        <w:t>Le Tribunal a fixé le dies a quo du versement de la contribution d'entretien au 1er janvier 2021. Ce point, non critiqué en appel, sera donc confirmé.</w:t>
      </w:r>
    </w:p>
    <w:p>
      <w:r>
        <w:t>Par conséquent, le chiffre 6 du dispositif de l'ordonnance querellée sera modifié, en ce sens que l'appelant sera condamné à verser en mains de l'intimée, par mois et d'avance, à titre de contribution à l'entretien de l'enfant, allocations familiales non comprises, la somme de 2'400 fr. dès le 1er janvier 2021.</w:t>
      </w:r>
    </w:p>
    <w:p>
      <w:r>
        <w:t>Le chiffre 7 du dispositif de la décision attaquée sera également confirmé en tant qu'il prévoit que les allocations familiales doivent être versées à l'intimée, qui a la garde de l'enfant.</w:t>
      </w:r>
    </w:p>
    <w:p>
      <w:r>
        <w:rPr>
          <w:b/>
        </w:rPr>
        <w:t>E. 8.1</w:t>
      </w:r>
    </w:p>
    <w:p>
      <w:r>
        <w:t>Si l'instance d'appel statue à nouveau, elle se prononce sur les frais de la première instance (art. 318 al. 3 CPC). En l'espèce, conformément aux règles légales, le premier juge a réservé sa décision quant au sort des frais judiciaires et dit qu'il n'était pas alloué de dépens. La modification du jugement ne justifie pas de statuer autrement. Par conséquent, la décision entreprise sera confirmée sur ce point.</w:t>
      </w:r>
    </w:p>
    <w:p>
      <w:r>
        <w:rPr>
          <w:b/>
        </w:rPr>
        <w:t>E. 8.2</w:t>
      </w:r>
    </w:p>
    <w:p>
      <w:r>
        <w:t>Les frais judiciaires de la procédure d'appel sont fixés à 2'000 fr., incluant l'émolument de décision sur effet suspensif (art. 31 et 35 RTFMC), partiellement</w:t>
      </w:r>
    </w:p>
    <w:p>
      <w:r>
        <w:t>- 15/17 -</w:t>
      </w:r>
    </w:p>
    <w:p>
      <w:r>
        <w:t>C/24174/2019 couverts par l'avance de frais opérée par l'appelant de 1'000 fr., laquelle demeure entièrement acquise à l'Etat (art. 111 al. 1 CPC). Pour des motifs d'équité liés à la nature et à l'issue du litige, ils seront répartis à parts égales entre les parties (art. 95, 104 al. 1, 105, 106 al. 1 et 107 al. 1 let. c CPC). Par conséquent, l'intimée sera condamnée à verser 1'000 fr. à l'Etat de Genève, soit pour lui les Services financiers du Pouvoir judiciaire. Les parties conserveront à leur charge leurs propres dépens d'appel (art. 107 al. 1 let. c CPC). * * * * *</w:t>
      </w:r>
    </w:p>
    <w:p>
      <w:r>
        <w:t>- 16/17 -</w:t>
      </w:r>
    </w:p>
    <w:p>
      <w:r>
        <w:t>C/24174/2019</w:t>
      </w:r>
    </w:p>
    <w:p>
      <w:r>
        <w:t>PAR CES MOTIFS, La Chambre civile : A la forme : Déclare recevable l'appel interjeté le 30 novembre 2020 par A______ contre l'ordonnance OTPI/711/2020 rendue le 17 novembre 2020 par le Tribunal de première instance dans la cause C/24174/2019.</w:t>
      </w:r>
    </w:p>
    <w:p>
      <w:r>
        <w:t>Au fond : Annule les chiffres 3 et 6 du dispositif de l'ordonnance querellée et cela fait, statuant à nouveau sur ces points : Réserve à A______ un droit de visite sur sa fille C______ devant s'exercer au minimum, sauf accord contraire des parties, à raison d'un week-end sur deux du vendredi après l'école au lundi matin retour en classe, ainsi que durant la moitié des vacances scolaires. Condamne A______ à verser en mains de B______, à titre de contribution à l'entretien de l'enfant C______, par mois et d'avance, allocations familiales non comprises, la somme de 2'400 fr. dès le 1er janvier 2021. Confirme pour le surplus l'ordonnance attaquée. Déboute les parties de toutes autres conclusions.</w:t>
      </w:r>
    </w:p>
    <w:p>
      <w:r>
        <w:t>Sur les frais : Arrête les frais judiciaires d'appel à 2'000 fr., dit qu'ils sont partiellement compensés avec l'avance fournie par A______, qui demeure acquise à l'Etat de Genève, et les met à la charge de chacune des parties pour moitié. Condamne B______ à verser 1'000 fr. aux Services financiers du Pouvoir judiciaire à titre de frais judiciaires d'appel. Dit que chaque partie supporte ses propres dépens d'appel. Siégeant : Monsieur Cédric-Laurent MICHEL, président; Madame Pauline ERARD et Madame Paola CAMPOMAGNANI, juges; Madame Roxane DUCOMMUN, greffière.</w:t>
      </w:r>
    </w:p>
    <w:p>
      <w:r>
        <w:t>- 17/17 -</w:t>
      </w:r>
    </w:p>
    <w:p>
      <w:r>
        <w:t>C/24174/2019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