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ACJC/401/2014 vom 1. Februar 2010</w:t>
      </w:r>
    </w:p>
    <w:p>
      <w:r>
        <w:t>GE Cour de justice, 2010-02-01, FR</w:t>
      </w:r>
    </w:p>
    <w:p>
      <w:r>
        <w:rPr>
          <w:b/>
        </w:rPr>
        <w:t xml:space="preserve">Quelle: </w:t>
      </w:r>
      <w:r>
        <w:t>https://mcp.opencaselaw.ch/entscheid/ge_gerichte_ACJC_401_2014</w:t>
      </w:r>
    </w:p>
    <w:p>
      <w:r>
        <w:t>FR: GE_GERICHTE ACJC/401/2014 du 1 février 2010</w:t>
      </w:r>
    </w:p>
    <w:p>
      <w:r>
        <w:t>IT: GE_GERICHTE ACJC/401/2014 del 1 febbraio 2010</w:t>
      </w:r>
    </w:p>
    <w:p>
      <w:pPr>
        <w:pStyle w:val="Heading2"/>
      </w:pPr>
      <w:r>
        <w:t>Erwägungen</w:t>
      </w:r>
    </w:p>
    <w:p>
      <w:r>
        <w:rPr>
          <w:b/>
        </w:rPr>
        <w:t>E. 1</w:t>
      </w:r>
    </w:p>
    <w:p>
      <w:r>
        <w:t>let. b CPC). Si la durée des revenus et prestations périodiques est indéterminée ou illimitée, le capital est constitué du montant annuel du revenu ou de la prestation multiplié par vingt (art. 92 al. 2 CPC).</w:t>
      </w:r>
    </w:p>
    <w:p>
      <w:r>
        <w:t>La cause est de nature tant non patrimoniale, en ce qui concerne l'autorité parentale, la garde et le droit de visite, que patrimoniale, en ce qui concerne la contribution d'entretien en faveur de l'enfant. La valeur capitalisée de celles-ci au sens de l'art. 92 CPC est supérieure à 10'000 fr., compte tenu des montants litigieux devant le premier juge, correspondant à la suppression de la pension mensuelle de 750 fr. requise par l'intimé et celle sollicitée par l'appelante de 700 fr. par mois.</w:t>
      </w:r>
    </w:p>
    <w:p>
      <w:r>
        <w:t>L'appel a été interjeté dans le délai de dix jours (art. 271 CPC par renvoi de l'art. 276 CPC, 142 al. 3 CPC, 314 al. 1 CPC) et suivant la forme prescrite par la loi (art. 130, 131, 311 al. 1 CPC), de sorte qu'il est recevable. Sont également recevables l'écriture responsive de l'intimé (art. 248 let. d, 312 al. 1 et 314 al. 1 CPC) ainsi que leurs déterminations subséquentes (ATF 138 I 154 consid. 2.3.3; 137 I 195 consid. 2.3.1 = SJ 2011 I p. 345; 133 I 98 consid. 2.1 et 2.2 = JdT 2007 I 379; 133 I 100 consid. 4.8).</w:t>
      </w:r>
    </w:p>
    <w:p>
      <w:r>
        <w:rPr>
          <w:b/>
        </w:rPr>
        <w:t>E. 1.1</w:t>
      </w:r>
    </w:p>
    <w:p>
      <w:r>
        <w:t>La procédure sommaire est applicable aux procédures de mesures provisionnelles en matière de divorce (art. 248 let. d, 271 let. a, 276 al. 1 CPC). Le jugement sur mesures provisionnelles est susceptible d'un appel si l'affaire est non pécuniaire ou si, pécuniaire, sa valeur litigieuse atteint 10'000 fr. (art. 308 al.</w:t>
      </w:r>
    </w:p>
    <w:p>
      <w:r>
        <w:rPr>
          <w:b/>
        </w:rPr>
        <w:t>E. 1.2</w:t>
      </w:r>
    </w:p>
    <w:p>
      <w:r>
        <w:t>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 (art. 272 CPC). Les maximes d'office et inquisitoire illimitée s'appliquent, compte tenu de la présence d'un enfant mineur (art. 296 CPC).</w:t>
      </w:r>
    </w:p>
    <w:p>
      <w:r>
        <w:t>- 7/15 -</w:t>
      </w:r>
    </w:p>
    <w:p>
      <w:r>
        <w:t>C/574/2012</w:t>
      </w:r>
    </w:p>
    <w:p>
      <w:r>
        <w:rPr>
          <w:b/>
        </w:rPr>
        <w:t>E. 2</w:t>
      </w:r>
    </w:p>
    <w:p>
      <w:r>
        <w:t>Requises après le 1er janvier 2011, les mesures provisoires sont régies par l'art. 276 CPC (art. 404 al. 1 CPC; TAPPY, Le droit transitoire applicable lors de l'introduction de la nouvelle procédure civile unifiée, JdT 2010 III p. 11 ss, p. 14 et 19).</w:t>
      </w:r>
    </w:p>
    <w:p>
      <w:r>
        <w:rPr>
          <w:b/>
        </w:rPr>
        <w:t>E. 3.1</w:t>
      </w:r>
    </w:p>
    <w:p>
      <w:r>
        <w:t>La Cour examine, en principe, d'office la recevabilité des pièces produites en appel (REETZ/HILBER, Kommentar zur Schweizerischen Zivilprozessordnung, 2013, 2ème éd.,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139).</w:t>
      </w:r>
    </w:p>
    <w:p>
      <w:r>
        <w:rPr>
          <w:b/>
        </w:rPr>
        <w:t>E. 3.2</w:t>
      </w:r>
    </w:p>
    <w:p>
      <w:r>
        <w:t>En l'espèce, les pièces nouvelles produites par les parties concernent leur situation familiale, qui a un impact sur leur fils mineur, de sorte qu'elles sont recevables, ainsi que les allégués de fait s'y rapportant.</w:t>
      </w:r>
    </w:p>
    <w:p>
      <w:r>
        <w:rPr>
          <w:b/>
        </w:rPr>
        <w:t>E. 4.1</w:t>
      </w:r>
    </w:p>
    <w:p>
      <w:r>
        <w:t>Aux termes de l'art. 276 al. 1 CPC, le tribunal ordonne les mesures provisionnelles nécessaires. Les dispositions régissant la protection de l'union conjugale sont applicables par analogie. La procédure de mesures protectrices de l'union conjugale est une procédure sommaire au sens propre (art. 271 CPC; ATF 127 III 474 consid. 2b/bb; arrêts du Tribunal fédéral 5A_340/2008 du 12 août 2008 consid. 3.1; 5A_344/2008 du 28 juillet 2008 consid. 2; HOHL, op. cit., n. 1900). Cette procédure n'est donc pas destinée à trancher des questions litigieuses délicates nécessitant une instruction approfondie (SJ 1988 p. 638). L'autorité saisie peut s'en tenir à la vraisemblance des faits allégués (arrêts du Tribunal fédéral 5A_48/2013 du 19 juillet 2013 consid. 2.2; 5A_124/2008 du 10 avril 2008 consid. 4.2; ATF 127 III 474 consid. 2b/b), solution qui était déjà retenue en matière de mesures provisoires selon l'art. 137 al. 2 aCC, abrogé par le CPC mais à laquelle il est donc possible de se référer.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- 8/15 -</w:t>
      </w:r>
    </w:p>
    <w:p>
      <w:r>
        <w:t>C/574/2012 L'exigence de célérité est privilégiée par rapport à celle de sécurité (arrêts du Tribunal fédéral 5A_442/2013 du 24 juillet 2013 consid. 2.1 et 5.1; 5A_124/2008 du 10 avril 2008 consid. 4.2; ATF 127 III 474 consid. 2b/aa, SJ 2001 I p. 586; LEUENBERGER, Commentaire bâlois, 2006, n. 18 ad art. 137 aCC; HOHL, op. cit., n. 1901; HALDY, La nouvelle procédure civile suisse, 2009, p. 71; VOUILLOZ, Les procédures du droit de la famille, in Jusletter 11 octobre 2010, Rz n. 6; VETTERLI, Das Eheschutzverfahren nach der schweizerischen Zivilprozess- 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t>Des mesures provisionnelles peuvent être prises pour la durée de la procédure de modification du jugement de divorce. Celles-ci doivent non seulement tenir compte des implications qu'entraînent les circonstances de fait nouvelles sur le bien de l'enfant, mais visent également à maintenir l'objet du litige dans l'état où il se trouve pendant la durée du procès et, ainsi, à assurer l'exécution ultérieure du jugement au fond (arrêt du Tribunal fédéral 5A_369/2012 du 10 août 2012 consid. 3.2.2).</w:t>
      </w:r>
    </w:p>
    <w:p>
      <w:r>
        <w:t>Une nouvelle décision du juge des mesures provisionnelles (anciennement dénommées mesures provisoires) d'un contenu différent est admissible si, depuis le prononcé des mesures protectrices, respectivement du jugement de divorce, les circonstances de fait se sont modifiées de façon substantielle et durable ou que le juge a ignoré des éléments essentiels ou a mal apprécié les circonstances (arrêts du Tribunal fédéral 5A_183/2010 du 19 avril 2010 consid. 3.3.1 et 5A_667/2007 du</w:t>
      </w:r>
    </w:p>
    <w:p>
      <w:r>
        <w:rPr>
          <w:b/>
        </w:rPr>
        <w:t>E. 4.2</w:t>
      </w:r>
    </w:p>
    <w:p>
      <w:r>
        <w:t>En l'espèce, lors du prononcé du jugement de divorce, l'appelante bénéficiait d'un droit de visite très élargi, soit les mercredis de 14 à 18 heures, les jeudis et vendredis, un week-end sur deux, du vendredi 18 heures au dimanche même heure et la moitié des vacances scolaires. L'intimé s'est engagé à payer une contribution d'entretien en faveur de l'enfant échelonnée en fonction de l'âge de celui-ci. Par ordonnance du 2 avril 2012, le Tribunal tutélaire a restreint le droit de visite de l'appelante à deux heures par quinzaine. Dans ses rapports des 22 mars et</w:t>
      </w:r>
    </w:p>
    <w:p>
      <w:r>
        <w:t>- 9/15 -</w:t>
      </w:r>
    </w:p>
    <w:p>
      <w:r>
        <w:t>C/574/2012</w:t>
      </w:r>
    </w:p>
    <w:p>
      <w:r>
        <w:rPr>
          <w:b/>
        </w:rPr>
        <w:t>E. 7</w:t>
      </w:r>
    </w:p>
    <w:p>
      <w:r>
        <w:t>octobre 2008 consid. 3.3; LEUENBERGER Praxiskommentar Scheidungsrecht, 2005, n. 8 et 16 ad art. 137 aCC). Dans tous les cas, la requête en modification ne peut conduire qu'à une adaptation aux circonstances nouvelles, mais non à une nouvelle fixation des mesures (arrêts du Tribunal fédéral 5A_402/2010 du 10 septembre 2010 consid. 4.2.2, in FamPra.ch 2010 p. 890 et 5A_205/2010 du 12 juillet 2010 consid. 4.2.2, in FamPra.ch 2010 p. 894).</w:t>
      </w:r>
    </w:p>
    <w:p>
      <w:r>
        <w:rPr>
          <w:b/>
        </w:rPr>
        <w:t>E. 7.1</w:t>
      </w:r>
    </w:p>
    <w:p>
      <w:r>
        <w:t>L'art. 286 al. 2 CC, applicable par renvoi de l'art. 134 al. 2 CC, permet au père, à la mère ou à l'enfant de saisir le juge afin d'obtenir la modification ou la suppression de la contribution à l'entretien de l'enfant fixée par le juge du divorce.</w:t>
      </w:r>
    </w:p>
    <w:p>
      <w:r>
        <w:t>- 12/15 -</w:t>
      </w:r>
    </w:p>
    <w:p>
      <w:r>
        <w:t>C/574/2012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(ATF 131 III 189 consid. 2.7.4 p; 120 II 177 consid. 3a p. 178; 120 II 285 consid. 4b p. 292; arrêt du Tribunal fédéral 5A_217/2009 du 30 octobre 2009 consid. 3.2).</w:t>
      </w:r>
    </w:p>
    <w:p>
      <w:r>
        <w:t>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w:t>
      </w:r>
    </w:p>
    <w:p>
      <w:r>
        <w:t>Le juge de l'action en modification d'un jugement de divorce peut fixer le moment à partir duquel son jugement prend effet selon son appréciation et en tenant compte des circonstances du cas concret (ATF 117 II 368 consid. 4c p. 369 et les références).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(arrêt précité, consid. 4c/aa p. 370 et la jurisprudence citée). Selon les circonstances, il est toutefois possible de retenir une date postérieure, par exemple le jour du jugement, notamment lorsque la restitution des contributions accordées et utilisées pendant la durée du procès ne peut équitablement être exigée (arrêt précité, consid. 4c/bb p. 371 et les références). Cette dernière situation suppose que le crédirentier, sur la base d'indices objectivement sérieux, ait pu compter pendant la durée de la procédure avec le maintien du jugement d'origine; il s'agit ainsi d'un régime d'exception (arrêt du Tribunal fédéral 5A_217/2009 du 30 octobre 2009 consid. 3.3; BÜHLER/SPÜHLER, Commentaire bernois, n. 189 in fine ad art. 157 CC).</w:t>
      </w:r>
    </w:p>
    <w:p>
      <w:r>
        <w:rPr>
          <w:b/>
        </w:rPr>
        <w:t>E. 7.2</w:t>
      </w:r>
    </w:p>
    <w:p>
      <w:r>
        <w:t>Dans le cas d'espèce, l'intimé s'était engagé, dans le cadre de la procédure de divorce, à contribuer à l'entretien de l'enfant, malgré le fait que l'autorité parentale et la garde de l'enfant lui ont été attribuées; l'appelante bénéficiait en effet d'un très large droit de visite, proche d'une garde alternée. Il est établi que le droit de visite de l'appelante a été très largement réduit, pour être fixé à deux heures par quinzaine depuis le 2 avril 2012, même si le SPMi a préconisé, depuis mars 2013, l'élargissement du droit de visite à un samedi sur deux de 10 heures à 18 heures, soit un droit relativement restreint. Il s'ensuit que depuis le mois d'avril 2012,</w:t>
      </w:r>
    </w:p>
    <w:p>
      <w:r>
        <w:t>- 13/15 -</w:t>
      </w:r>
    </w:p>
    <w:p>
      <w:r>
        <w:t>C/574/2012 l'intimé prodigue non seulement quotidiennement les soins et l'éducation de l'enfant, mais assure également l'entretien financier de celui-ci.</w:t>
      </w:r>
    </w:p>
    <w:p>
      <w:r>
        <w:t>Compte tenu de ce notable et durable changement de situation, c'est à bon droit que le premier juge a retenu que la contribution précédemment fixée ne se justifiait plus, ni au regard de l'art. 276 al. 2 CC, ni de la situation de fait actuelle et a supprimé l'obligation de l'intimé de payer la contribution d'entretien. Pour le surplus, le dies a quo de la modification a été fixé le 12 novembre 2012, date de la demande de suppression de cette obligation.</w:t>
      </w:r>
    </w:p>
    <w:p>
      <w:r>
        <w:rPr>
          <w:b/>
        </w:rPr>
        <w:t>E. 7.3</w:t>
      </w:r>
    </w:p>
    <w:p>
      <w:r>
        <w:t>Le jugement entrepris sera en conséquence intégralement confirmé.</w:t>
      </w:r>
    </w:p>
    <w:p>
      <w:r>
        <w:rPr>
          <w:b/>
        </w:rPr>
        <w:t>E. 8</w:t>
      </w:r>
    </w:p>
    <w:p>
      <w:r>
        <w:t>L'intimé sollicite que l'appelante soit condamnée à l'amende au sens de l'art. 128 al. 3 CPC, vu le comportement de celle-ci.</w:t>
      </w:r>
    </w:p>
    <w:p>
      <w:r>
        <w:rPr>
          <w:b/>
        </w:rPr>
        <w:t>E. 8.1</w:t>
      </w:r>
    </w:p>
    <w:p>
      <w:r>
        <w:t>La partie ou son représentant qui usent de mauvaise foi ou de procédés téméraires sont punis d'une amende disciplinaire de 2'000 fr. au plus; l'amende est de 5'000 fr. au plus en cas de récidive (art. 128 al. 3 CPC). Par cette disposition, le législateur entendait harmoniser le CPC à l'art. 33 LTF (FF 2006 p. 6916).</w:t>
      </w:r>
    </w:p>
    <w:p>
      <w:r>
        <w:t>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Code de procédure civile commenté, 2011 n° 9 ad art. 128 CPC).</w:t>
      </w:r>
    </w:p>
    <w:p>
      <w:r>
        <w:rPr>
          <w:b/>
        </w:rPr>
        <w:t>E. 8.2</w:t>
      </w:r>
    </w:p>
    <w:p>
      <w:r>
        <w:t>En l'espèce, malgré l'issue de la présente procédure, l'appelante n'a pas agi de manière téméraire. L'intimé sera partant débouté sur ce point.</w:t>
      </w:r>
    </w:p>
    <w:p>
      <w:r>
        <w:rPr>
          <w:b/>
        </w:rPr>
        <w:t>E. 9</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et de la décision sur effet suspensif seront fixés à 1'500 fr. (art. 28, 31 et 37 du Règlement fixant le tarif des greffes en matière civile, RTFMC - E 1 05.10), partiellement compensés avec l'avance de frais de 1'000 fr. opérée par l'appelante, acquise à l'Etat (art. 111 al. 1 CPC). Vu l'issue du litige, ils seront mis à charge de l'appelante. Elle sera en conséquence condamnée à verser 500 fr. à l'Etat, soit pour lui les services financiers du Pouvoir judiciaire. Chaque partie gardera pour le surplus à sa charge ses propres dépens.</w:t>
      </w:r>
    </w:p>
    <w:p>
      <w:r>
        <w:t>- 14/15 -</w:t>
      </w:r>
    </w:p>
    <w:p>
      <w:r>
        <w:t>C/574/2012</w:t>
      </w:r>
    </w:p>
    <w:p>
      <w:r>
        <w:rPr>
          <w:b/>
        </w:rPr>
        <w:t>E. 10</w:t>
      </w:r>
    </w:p>
    <w:p>
      <w:r>
        <w:t>S'agissant de mesures provisionnelles, la voie du recours en matière civile au Tribunal fédéral est ouverte (art. 72 al. 1 LTF). Dans le cas d'un recours formé contre une décision portant sur des mesures provisionnelles, seule peut être invoquée la violation de droits constitutionnels (art. 98 LTF). * * * * *</w:t>
      </w:r>
    </w:p>
    <w:p>
      <w:r>
        <w:t>- 15/15 -</w:t>
      </w:r>
    </w:p>
    <w:p>
      <w:r>
        <w:t>C/574/2012 PAR CES MOTIFS, La Chambre civile : A la forme : Déclare recevable l'appel interjeté le 11 novembre 2013 par A______ contre l'ordonnance OTPI/1466/2013 rendue le 29 octobre 2013 par le Tribunal de première instance dans la cause C/574/2012-9. Déclare recevables les pièces nouvelles produites par A______ et B______, ainsi que les allégués de fait s'y rapportant. Au fond : Confirme le jugement. Déboute les parties de toutes autres conclusions. Sur les frais d'appel : Arrête les frais judiciaires à 1'500 fr., partiellement compensés avec l'avance de frais de 1'000 fr. faite par A______, acquise à l'Etat. Les met à charge de A______. Condamne en conséquence A______ à payer 500 fr. à l'Etat, soit pour lui les services financiers du Pouvoir judiciaire. Dit que chaque partie supporte ses propres dépens d'appel.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