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ACJC/400/2020 vom 9. März 2020</w:t>
      </w:r>
    </w:p>
    <w:p>
      <w:r>
        <w:t>GE Cour de justice, 2020-03-09, FR</w:t>
      </w:r>
    </w:p>
    <w:p>
      <w:r>
        <w:rPr>
          <w:b/>
        </w:rPr>
        <w:t xml:space="preserve">Quelle: </w:t>
      </w:r>
      <w:r>
        <w:t>https://mcp.opencaselaw.ch/entscheid/ge_gerichte_ACJC_400_2020</w:t>
      </w:r>
    </w:p>
    <w:p>
      <w:r>
        <w:t>FR: GE_GERICHTE ACJC/400/2020 du 9 mars 2020</w:t>
      </w:r>
    </w:p>
    <w:p>
      <w:r>
        <w:t>IT: GE_GERICHTE ACJC/400/2020 del 9 marzo 2020</w:t>
      </w:r>
    </w:p>
    <w:p>
      <w:pPr>
        <w:pStyle w:val="Heading2"/>
      </w:pPr>
      <w:r>
        <w:t>Erwägungen</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- 5/9 -</w:t>
      </w:r>
    </w:p>
    <w:p>
      <w:r>
        <w:t>C/19944/2019</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au vu du montant du loyer de 6'210 fr. par mois,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voie du recours est ouverte contre la décision du Tribunal relative à l'exécution de l'évacuation. Le recours formé est également recevable.</w:t>
      </w:r>
    </w:p>
    <w:p>
      <w:r>
        <w:rPr>
          <w:b/>
        </w:rPr>
        <w:t>E. 1.6</w:t>
      </w:r>
    </w:p>
    <w:p>
      <w:r>
        <w:t>Le recours est recevable pour violation du droit et constatation manifestement inexacte des faits (art. 320 CPC).</w:t>
      </w:r>
    </w:p>
    <w:p>
      <w:r>
        <w:rPr>
          <w:b/>
        </w:rPr>
        <w:t>E. 1.7</w:t>
      </w:r>
    </w:p>
    <w:p>
      <w:r>
        <w:t>L'appel et le recours, formés contre la même décision, seront traités ensemble dans le présent arrêt (art. 125 CPC).</w:t>
      </w:r>
    </w:p>
    <w:p>
      <w:r>
        <w:rPr>
          <w:b/>
        </w:rPr>
        <w:t>E. 2</w:t>
      </w:r>
    </w:p>
    <w:p>
      <w:r>
        <w:t>Les appelants ont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w:t>
      </w:r>
    </w:p>
    <w:p>
      <w:r>
        <w:t>- 6/9 -</w:t>
      </w:r>
    </w:p>
    <w:p>
      <w:r>
        <w:t>C/19944/2019 bien que la partie qui s'en prévaut ait fait preuve de la diligence requise (let. b). Les deux conditions sont cumulatives (JEANDIN, Commentaire Romand, Code de procédure civile 2ème éd., 2019, n. 6 ad art. 317 CPC).</w:t>
      </w:r>
    </w:p>
    <w:p>
      <w:r>
        <w:rPr>
          <w:b/>
        </w:rPr>
        <w:t>E. 2.2</w:t>
      </w:r>
    </w:p>
    <w:p>
      <w:r>
        <w:t>Ainsi, les pièces nouvelles, qui sont antérieures à la date à laquelle la cause a été retenue à juger par le Tribunal, respectivement non datées, et à propos desquelles les appelants n'ont pas donné d'explications sur leur non-dépôt en première instance, ne sont pas recevables.</w:t>
      </w:r>
    </w:p>
    <w:p>
      <w:r>
        <w:rPr>
          <w:b/>
        </w:rPr>
        <w:t>E. 3</w:t>
      </w:r>
    </w:p>
    <w:p>
      <w:r>
        <w:t>Les appelants reprochent au Tribunal d'avoir considéré que le cas était clair, alors qu'ils soutiennent que, pour apprécier le bien-fondé de la créance opposée en compensation, dérivant de l'état défectueux du local commercial causant une perte de gain, une inspection sur place, l'audition de témoins et une expertise judiciaire s'imposaient, de sorte que le cas n'était pas clair.</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w:t>
      </w:r>
    </w:p>
    <w:p>
      <w:r>
        <w:t>- 7/9 -</w:t>
      </w:r>
    </w:p>
    <w:p>
      <w:r>
        <w:t>C/19944/2019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3.2</w:t>
      </w:r>
    </w:p>
    <w:p>
      <w:r>
        <w:t>La maxime des débats est applicable (art. 55 al. 1 CPC), sauf dans les deux cas prévus par l'art. 255 CPC (lequel est réservé par l'art. 55 al. 2 CPC), qui ne sont pas pertinents en l'espèce.</w:t>
      </w:r>
    </w:p>
    <w:p>
      <w:r>
        <w:rPr>
          <w:b/>
        </w:rPr>
        <w:t>E. 3.3</w:t>
      </w:r>
    </w:p>
    <w:p>
      <w:r>
        <w:t>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 Tribunal fédéral 4C_212/2006 du 28 septembre 2006 consid. 3.1.1, in CdB 2007 22).</w:t>
      </w:r>
    </w:p>
    <w:p>
      <w:r>
        <w:t>La contre-créance invoquée en compensation doit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(arrêt du Tribunal fédéral précité 4A_472/2008 du 26 janvier 2009 consid. 4.2.3, in RtiD 2009 II 681). Si le locataire se décide à compenser avec une contre- créance contestée, il fait ce choix à ses risques et périls (arrêt du Tribunal fédéral 4A_140/2014 du 6 août 2014 consid. 5).</w:t>
      </w:r>
    </w:p>
    <w:p>
      <w:r>
        <w:rPr>
          <w:b/>
        </w:rPr>
        <w:t>E. 3.4</w:t>
      </w:r>
    </w:p>
    <w:p>
      <w:r>
        <w:t>En l'occurrence, il est constant que deux des trois appelants se sont prévalus de compensation, certes dans le délai comminatoire, mais en faisant valoir une créance que l'intimée conteste, et qui relève de la réduction de loyer ou des dommages-intérêts. C'est ainsi à raison que le Tribunal, appliquant la jurisprudence rappelée ci-dessus, a écarté la compensation invoquée. Les appelants ne contestent pour le surplus pas que les conditions de l'art. 257 al. 1 CPC sont réalisées. C'est dès lors à bon droit que les premiers juges ont retenu que les conditions du cas clair étaient réunies et ont fait droit aux conclusions de la requête.</w:t>
      </w:r>
    </w:p>
    <w:p>
      <w:r>
        <w:t>- 8/9 -</w:t>
      </w:r>
    </w:p>
    <w:p>
      <w:r>
        <w:t>C/19944/2019</w:t>
      </w:r>
    </w:p>
    <w:p>
      <w:r>
        <w:rPr>
          <w:b/>
        </w:rPr>
        <w:t>E. 4</w:t>
      </w:r>
    </w:p>
    <w:p>
      <w:r>
        <w:t>A titre subsidiaire, les appelants font encore grief aux premiers juges d'avoir violé le principe de la proportionnalité en n'ayant ordonné l'exécution immédiate de l'évacuation prononcée. Selon eux, un délai de six mois s'imposait. Ce faisant, les appelants perdent de vue que le juge ne peut surseoir à l'exécution d'un jugement d'évacuation qu'en matière de baux d'habitations (cf. art. 30 al. 4 LaCC). Au demeurant, il apparaît que, du fait de la présente procédure, les appelants ont obtenu une prolongation de fait de plus d'une année, le contrat de bail ayant été résilié pour le 31 janvier 2019.</w:t>
      </w:r>
    </w:p>
    <w:p>
      <w:r>
        <w:t>Le jugement attaqué sera dès lors confirmé.</w:t>
      </w:r>
    </w:p>
    <w:p>
      <w:r>
        <w:rPr>
          <w:b/>
        </w:rPr>
        <w:t>E. 5</w:t>
      </w:r>
    </w:p>
    <w:p>
      <w:r>
        <w:t>A teneur de l'art. 22 al. 1 LaCC, il n'est pas prélevé de frais dans les causes soumises à la juridiction des baux et loyers (ATF 139 III 182 consid. 2.6). Il ne sera ainsi pas alloué de dépens. * * * * *</w:t>
      </w:r>
    </w:p>
    <w:p>
      <w:r>
        <w:t>- 9/9 -</w:t>
      </w:r>
    </w:p>
    <w:p>
      <w:r>
        <w:t>C/19944/2019</w:t>
      </w:r>
    </w:p>
    <w:p>
      <w:r>
        <w:t>PAR CES MOTIFS, La Chambre des baux et loyers : A la forme : Déclare recevables l'appel et le recours interjetés le 25 novembre 2019 par A______ SA, B______ et C______ contre le jugement JTBL/1059/2019 rendu le 13 novembre 2019 par le Tribunal des baux et loyers dans la cause C/19944/2019-8-SE.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