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ACJC/399/2019 vom 12. März 2019</w:t>
      </w:r>
    </w:p>
    <w:p>
      <w:r>
        <w:t>GE Cour de justice, 2019-03-12, FR</w:t>
      </w:r>
    </w:p>
    <w:p>
      <w:r>
        <w:rPr>
          <w:b/>
        </w:rPr>
        <w:t xml:space="preserve">Quelle: </w:t>
      </w:r>
      <w:r>
        <w:t>https://mcp.opencaselaw.ch/entscheid/ge_gerichte_ACJC_399_2019</w:t>
      </w:r>
    </w:p>
    <w:p>
      <w:r>
        <w:t>FR: GE_GERICHTE ACJC/399/2019 du 12 mars 2019</w:t>
      </w:r>
    </w:p>
    <w:p>
      <w:r>
        <w:t>IT: GE_GERICHTE ACJC/399/2019 del 12 marzo 2019</w:t>
      </w:r>
    </w:p>
    <w:p>
      <w:pPr>
        <w:pStyle w:val="Heading2"/>
      </w:pPr>
      <w:r>
        <w:t>Erwägungen</w:t>
      </w:r>
    </w:p>
    <w:p>
      <w:r>
        <w:rPr>
          <w:b/>
        </w:rPr>
        <w:t>E. 1.1.1</w:t>
      </w:r>
    </w:p>
    <w:p>
      <w:r>
        <w:t>La voie de l'appel est ouverte contre les décisions finales de première instance (art. 308 al. 1 let. a CPC), lorsque la valeur litigieuse est supérieure à 10'000 fr. (art. 308 al. 2 CPC). Elle est également ouverte contre les décisions partielles, par lesquelles le juge statue sur un objet dont le sort est indépendant de celui qui reste en cause (JEANDIN, Commentaire Romand - CPC, 2ème éd. 2019, n. 8 ad art. 308 CPC).</w:t>
      </w:r>
    </w:p>
    <w:p>
      <w:r>
        <w:t>- 6/11 -</w:t>
      </w:r>
    </w:p>
    <w:p>
      <w:r>
        <w:t>C/22544/2015</w:t>
      </w:r>
    </w:p>
    <w:p>
      <w:r>
        <w:t>En matière de reddition de compte, la pratique est d'apprécier la valeur litigieuse en fonction des prétentions pécuniaires auxquelles les renseignements ou documents requis peuvent servir de fondement (cf. ATF 126 III 445 consid. 3b p. 446; arrêts du Tribunal fédéral 4A_640/2016 du 25 septembre 2017 consid. 1, 4A_38/2011 du 6 avril 2011 consid. 1 et 4A_413/2007 du 10 décembre 2007 consid. 1.2).</w:t>
      </w:r>
    </w:p>
    <w:p>
      <w:r>
        <w:t>Le délai pour déposer appel est de 30 jours (art. 311 al. 1 CPC).</w:t>
      </w:r>
    </w:p>
    <w:p>
      <w:r>
        <w:rPr>
          <w:b/>
        </w:rPr>
        <w:t>E. 1.1.2</w:t>
      </w:r>
    </w:p>
    <w:p>
      <w:r>
        <w:t>Le recours est recevable contre les décisions et ordonnances d'instruction de première instance, dans les cas prévus par la loi (art. 319 let. b ch. 1 CPC) ou lorsqu'elles peuvent causer un préjudice difficilement réparable (art. 319 let. b ch. 2 CPC). Les ordonnances d'instruction, qui refusent, par exemple, l'administration d'un moyen de preuve, sont susceptibles d'un recours immédiat, pour autant qu'elles puissent causer un préjudice difficilement réparable, dans la mesure où la loi ne prévoit pas d'autre voie de recours dans ces cas (ACJC/1823/2018 18 décembre 2018 consid. 1.2 et les références citées).</w:t>
      </w:r>
    </w:p>
    <w:p>
      <w:r>
        <w:t>Le délai de recours est de dix jours, à moins que la loi n'en dispose autrement (art. 321 al. 2 CPC).</w:t>
      </w:r>
    </w:p>
    <w:p>
      <w:r>
        <w:rPr>
          <w:b/>
        </w:rPr>
        <w:t>E. 1.1.3</w:t>
      </w:r>
    </w:p>
    <w:p>
      <w:r>
        <w:t>Les voies de l'appel et du recours sont exclusives l'une de l'autre. Le choix entre ces deux voies ne dépend ni de la volonté des parties, ni du type de procédure, mais de la nature de la décision attaquée et, éventuellement, de la valeur litigieuse (JEANDIN, op. cit., n. 7 ad remarques introductives aux art. 308- 334 CPC).</w:t>
      </w:r>
    </w:p>
    <w:p>
      <w:r>
        <w:rPr>
          <w:b/>
        </w:rPr>
        <w:t>E. 1.1.4</w:t>
      </w:r>
    </w:p>
    <w:p>
      <w:r>
        <w:t>L'intitulé erroné d'un recours ne nuit pas à son auteur, pour autant que les conditions de recevabilité du recours qui aurait dû être interjeté soient réunies (ATF 136 II 489 consid. 2.1; 135 III 441 consid. 3.3; 134 III 379 consid. 1.2; arrêt du Tribunal fédéral 5A_786/2018 du 11 octobre 2018 consid. 3).</w:t>
      </w:r>
    </w:p>
    <w:p>
      <w:r>
        <w:rPr>
          <w:b/>
        </w:rPr>
        <w:t>E. 1.2</w:t>
      </w:r>
    </w:p>
    <w:p>
      <w:r>
        <w:t>En l'occurrence, l'acte attaqué est une ordonnance par laquelle le Tribunal, statuant expressément en application des art. 152 et 160 CPC, a ordonné à l'intimée de produire divers documents et a débouté pour le surplus les appelantes de leurs conclusions en production de pièces. Il s'agit donc, selon son dispositif, d'une ordonnance de preuves (art. 154 CPC) qui ne pourrait être contestée que par la voie du recours, et pour autant qu'elle puisse causer à l'appelante un préjudice difficilement réparable (art. 319 let. b ch. 2 CPC).</w:t>
      </w:r>
    </w:p>
    <w:p>
      <w:r>
        <w:t>Il résulte toutefois des considérants de cette décision que le premier juge, tout en constatant que les appelantes fondaient leurs conclusions en production de pièces "en grande partie" sur le droit matériel, soit sur l'art. 400 al. 1 CO, a choisi de les traiter comme une requête fondée sur le droit de procédure, plus particulièrement sur les art. 152 et 160 CPC. En procédant à cette conversion, il a manifesté de</w:t>
      </w:r>
    </w:p>
    <w:p>
      <w:r>
        <w:t>- 7/11 -</w:t>
      </w:r>
    </w:p>
    <w:p>
      <w:r>
        <w:t>C/22544/2015 manière univoque son intention de ne pas statuer sur les prétentions matérielles en reddition de compte invoquées par les appelantes.</w:t>
      </w:r>
    </w:p>
    <w:p>
      <w:r>
        <w:t>Au regard de ces prétentions, la décision attaquée doit dès lors s'analyser comme un jugement sur partie par lequel le Tribunal a définitivement refusé de statuer sur certaines conclusions de droit matériel, que ce soit en les déclarant irrecevables, en les rejetant totalement ou partiellement, ou en les admettant.</w:t>
      </w:r>
    </w:p>
    <w:p>
      <w:r>
        <w:t>Or, une telle décision doit être contestée par la voie de l'appel, au même titre que l'aurait été une décision statuant sur la recevabilité ou le bien-fondé des prétentions invoquées.</w:t>
      </w:r>
    </w:p>
    <w:p>
      <w:r>
        <w:t>L'écriture expédiée le 18 juin 2018 par les appelantes l'a été dans le délai de 30 jours prévu par l'art. 311 al. 1 CPC et respecte les formes prévues par cette disposition. Au vu des conclusions pécuniaires prises par les appelantes dans leurs conclusions en paiement - que les prétentions en reddition de compte doivent soutenir - la valeur litigieuse exigée par l'art. 308 al. 2 CPC est par ailleurs manifestement atteinte.</w:t>
      </w:r>
    </w:p>
    <w:p>
      <w:r>
        <w:t>Certes, l'intitulé de l'acte est ambigu. Il ne peut toutefois en être fait grief aux appelantes ou à leur mandataire dans la mesure où la décision attaquée mentionne une autre voie de droit et que sa véritable nature ne résulte pas de son dispositif.</w:t>
      </w:r>
    </w:p>
    <w:p>
      <w:r>
        <w:t>L'acte adressé le 18 juin 2018 à la Cour est donc recevable comme appel.</w:t>
      </w:r>
    </w:p>
    <w:p>
      <w:r>
        <w:t>L'existence d'un intérêt digne de protection à former appel est suffisamment établi (art. 59 al. 2 let. a CPC), au vu de ce qui précède, contrairement ce que soutient l'intimée.</w:t>
      </w:r>
    </w:p>
    <w:p>
      <w:r>
        <w:rPr>
          <w:b/>
        </w:rPr>
        <w:t>E. 2</w:t>
      </w:r>
    </w:p>
    <w:p>
      <w:r>
        <w:t>Le grief principal des appelantes repose sur la nature de la décision entreprise : alors qu'il était saisi d'une demande de reddition de compte fondée sur l'art. 400 al. 1 CO, le Tribunal aurait refusé de l'examiner, choisissant de la considérer comme une requête de production de pièces au sens de l'art. 160 CPC.</w:t>
      </w:r>
    </w:p>
    <w:p>
      <w:r>
        <w:rPr>
          <w:b/>
        </w:rPr>
        <w:t>E. 2.1.1</w:t>
      </w:r>
    </w:p>
    <w:p>
      <w:r>
        <w:t>Sous le titre "reddition de compte", l'art. 400 al. 1 CO impose au mandataire qui en est requis par le mandant de rendre en tout temps compte de sa gestion. Le mandant dispose ainsi d'un droit à l'information lui permettant de vérifier si les activités du mandataire correspondent à une bonne et fidèle exécution du mandat. La reddition de compte est étroitement liée au fait que l'exécution du mandat sert l'intérêt d'autrui (ATF 139 III 49 consid. 4.1.2 et les arrêts cités; 110 II 181 consid. 2).</w:t>
      </w:r>
    </w:p>
    <w:p>
      <w:r>
        <w:t>Le droit à la reddition de compte fondé sur l'art. 400 al. 1 CO est une prétention de droit matériel, et non un droit de nature procédurale : elle doit donc être distinguée</w:t>
      </w:r>
    </w:p>
    <w:p>
      <w:r>
        <w:t>- 8/11 -</w:t>
      </w:r>
    </w:p>
    <w:p>
      <w:r>
        <w:t>C/22544/2015 de l'obligation procédurale de collaborer en produisant les titres requis (art. 160 al. 1 let. b CPC; cf. arrêt du Tribunal fédéral 5A_768/2012 du 17 mai 2013 consid. 4.1; arrêt du Tribunal fédéral 4A_263/2017 du 6 février 2018 consid. 3.2).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(cf. ATF 138 III 728 consid. 2.7). Le jugement, revêtu de l'autorité de la chose jugée, doit être rendu après un examen complet en fait et en droit (ATF 141 III 564 consid. 4.2.2).</w:t>
      </w:r>
    </w:p>
    <w:p>
      <w:r>
        <w:t>Selon la jurisprudence, le juge ne peut pas ordonner par voie provisionnelle une mesure qui, par sa nature, implique un jugement définitif de la prétention à protéger, comme la reddition de compte au sens de l'art. 400 al. 1 CO (cf. ATF 138 III 728 consid. 2.7; pour le droit à la consultation des comptes de la SA [art. 697h CO], ATF 120 II 352 consid. 2b).</w:t>
      </w:r>
    </w:p>
    <w:p>
      <w:r>
        <w:t>La reddition de compte doit être distinguée de l'obligation procédurale de collaborer en produisant les titres requis (art. 160 al. 1 let. b CPC; ATF 141 III 564 consid. 4.2.2).</w:t>
      </w:r>
    </w:p>
    <w:p>
      <w:r>
        <w:rPr>
          <w:b/>
        </w:rPr>
        <w:t>E. 2.1.2</w:t>
      </w:r>
    </w:p>
    <w:p>
      <w:r>
        <w:t>Selon l'art. 318 al. 1 let. c ch. 1 CPC, l'instance d'appel peut renvoyer la cause à la première instance si un élément essentiel de la demande n'a pas été jugé.</w:t>
      </w:r>
    </w:p>
    <w:p>
      <w:r>
        <w:rPr>
          <w:b/>
        </w:rPr>
        <w:t>E. 2.2</w:t>
      </w:r>
    </w:p>
    <w:p>
      <w:r>
        <w:t>En l'espèce, c'est à juste titre que, dans les considérants de la décision attaquée, le premier juge a constaté que les conclusions en production de pièces formulées par les appelantes étaient "en grande partie" fondées sur le droit matériel, soit sur l'art. 400 al. 1 CO. En effet, au vu aussi bien des termes employés par les appelantes dans leur première requête du 9 janvier 2017 et leurs écritures de demande reconventionnelle du 30 mars 2017 ("reddition de comptes") que du fondement légal invoqué (art. 400 CO), le Tribunal ne pouvait ignorer que les conclusions formulées à ce titre relevaient du droit matériel et non d'une demande procédurale.</w:t>
      </w:r>
    </w:p>
    <w:p>
      <w:r>
        <w:t>Il lui incombait en conséquence d'instruire si nécessaire puis de statuer sur ces conclusions par un jugement - partiel ou final selon qu'il mettait fin à la procédure - et non de les convertir en conclusions de nature purement procédurale pouvant être tranchées par une simple ordonnance de preuves.</w:t>
      </w:r>
    </w:p>
    <w:p>
      <w:r>
        <w:t>Un éventuel vice affectant les conclusions en reddition de compte, que le premier juge paraît avoir considérées comme ne pouvant faire l'objet d'une exécution forcée, pourrait certes, le cas échéant, avoir pour conséquence leur irrecevabilité ou leur rejet, mais non leur changement de nature. Il en va de même d'une éventuelle insuffisance des allégués offerts en preuve à l'appui de ces conclusions,</w:t>
      </w:r>
    </w:p>
    <w:p>
      <w:r>
        <w:t>- 9/11 -</w:t>
      </w:r>
    </w:p>
    <w:p>
      <w:r>
        <w:t>C/22544/2015 étant rappelé que ces allégués n'ont pas à être formellement distincts de ceux formulés à l'appui des conclusions en paiement.</w:t>
      </w:r>
    </w:p>
    <w:p>
      <w:r>
        <w:t>Le fait que l'existence même d'un mandat de gestion entre les parties, ainsi que la validité de la cession opérée en faveur de l'appelante par les Fonds, sont litigieuses n'autorisait pas davantage le Tribunal à renoncer à examiner les conclusions en reddition de compte prises par l'appelante. Au contraire, dans la mesure où ces points seraient pertinents pour statuer sur lesdites conclusions, il s'agirait de questions préjudicielles qu'il appartiendrait au premier juge de trancher, le cas échéant après instruction, dans sa décision sur demande de reddition de compte.</w:t>
      </w:r>
    </w:p>
    <w:p>
      <w:r>
        <w:t>Il résulte de ce qui précède qu'en choisissant de traiter comme une requête procédurale les prétentions de droit matériel en reddition de compte formulées par les appelantes, et en manifestant ainsi son refus de statuer sur ces prétentions alors que leur examen relève de sa compétence, le premier juge a commis un déni de justice formel (HOHL, Procédure civile, Tome I, 2ème éd. 2016, § 127).</w:t>
      </w:r>
    </w:p>
    <w:p>
      <w:r>
        <w:t>L'appel est donc bien fondé, ce qui conduit à l'annulation de la décision attaquée en tant qu'elle règle le sort des demandes de production de pièces formulées par les appelantes. La cause doit être retournée au Tribunal pour qu'il soit statué, si nécessaire après instruction, sur les prétentions matérielles en reddition de compte invoquées par les appelantes.</w:t>
      </w:r>
    </w:p>
    <w:p>
      <w:r>
        <w:rPr>
          <w:b/>
        </w:rPr>
        <w:t>E. 3.1</w:t>
      </w:r>
    </w:p>
    <w:p>
      <w:r>
        <w:t>Dès lors que le Tribunal n'a pas statué sur les frais, ni octroyé de dépens, réservant vraisemblablement sa décision pour la suite de la procédure et que les parties n'ont pas remis en cause cet aspect, il ne sera pas entré en matière sur les frais de première instance au vu de l'issue du litige.</w:t>
      </w:r>
    </w:p>
    <w:p>
      <w:r>
        <w:rPr>
          <w:b/>
        </w:rPr>
        <w:t>E. 3.2.1</w:t>
      </w:r>
    </w:p>
    <w:p>
      <w:r>
        <w:t>Les frais judiciaires d'appel, arrêtés à 1'440 fr. et entièrement compensés avec l'avance de frais versée par l'une des appelantes qui demeure acquise à l'Etat de Genève (art. 111 al. 1 CPC), seront mis à la charge de l'intimée qui succombe (art. 106 al. 1 CPC) et qui sera condamnée à rembourser cette somme à l'appelante susvisée.</w:t>
      </w:r>
    </w:p>
    <w:p>
      <w:r>
        <w:rPr>
          <w:b/>
        </w:rPr>
        <w:t>E. 3.2.2</w:t>
      </w:r>
    </w:p>
    <w:p>
      <w:r>
        <w:t>Bien qu'en principe la valeur litigieuse d'une action en reddition de compte soit calculée en fonction des prétentions pécuniaires auxquelles les renseignements ou documents requis peuvent servir de fondement (ATF 126 III 445 consid. 3b; arrêt du Tribunal fédéral 4A_640/2016 du 25 septembre 2017 consid. 1), l'application du tarif conduirait à un résultat disproportionné par rapport aux particularités de la présente cause (art. 85, 87 et 90 RTFMC). Il sera donc fait appel à la possibilité prévue à l'art. 23 al. 1 LaCC, applicable aux cas spéciaux, et les dépens dus aux appelantes par l'intimée seront arrêtés à un montant unique de 4'000 fr., qui correspond à la difficulté de la cause et à l'ampleur modérée de la question litigieuse.</w:t>
      </w:r>
    </w:p>
    <w:p>
      <w:r>
        <w:t>- 10/11 -</w:t>
      </w:r>
    </w:p>
    <w:p>
      <w:r>
        <w:t>C/22544/2015 * * * * * PAR CES MOTIFS, La Chambre civile : A la forme : Déclare recevable l'appel interjeté par A______ LTD, B______ LTD et C______ LTD contre l'ordonnance ORTPI/446/2018 rendue le 1er juin 2018 par le Tribunal de première instance dans la cause C/22544/2015-18. Au fond : L'admet et annule l'ordonnance entreprise. Retourne la cause au Tribunal de première instance pour décision sur la demande en reddition de compte formée par A______ LTD, B______ LTD et C______ LTD. Déboute les parties de toutes autres conclusions. Sur les frais : Arrête les frais judiciaires d'appel à 1'440 fr., les compense avec l'avance de frais de même montant versée par B______ LTD et les met à la charge de E______ SA. Condamne E______ SA à payer 1'200 fr. à B______ LTD à titre de remboursement des frais d'appel. Condamne E______ SA à payer 4'000 fr. à A______ LTD, B______ LTD et C______ LTD, pris conjointement et solidairement, à titre de dépens d'appel. Siégeant : Monsieur Laurent RIEBEN, président; Monsieur Patrick CHENAUX, Madame Fabienne GEISINGER-MARIETHOZ, juges; Madame Sandra MILLET, greffière. Le président : Laurent RIEBEN</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w:t>
      </w:r>
    </w:p>
    <w:p>
      <w:r>
        <w:t>- 11/11 -</w:t>
      </w:r>
    </w:p>
    <w:p>
      <w:r>
        <w:t>C/22544/2015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