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ACJC/398/2018 vom 3. April 2018</w:t>
      </w:r>
    </w:p>
    <w:p>
      <w:r>
        <w:t>GE Cour de justice, 2018-04-03, FR</w:t>
      </w:r>
    </w:p>
    <w:p>
      <w:r>
        <w:rPr>
          <w:b/>
        </w:rPr>
        <w:t xml:space="preserve">Quelle: </w:t>
      </w:r>
      <w:r>
        <w:t>https://mcp.opencaselaw.ch/entscheid/ge_gerichte_ACJC_398_2018</w:t>
      </w:r>
    </w:p>
    <w:p>
      <w:r>
        <w:t>FR: GE_GERICHTE ACJC/398/2018 du 3 avril 2018</w:t>
      </w:r>
    </w:p>
    <w:p>
      <w:r>
        <w:t>IT: GE_GERICHTE ACJC/398/2018 del 3 aprile 2018</w:t>
      </w:r>
    </w:p>
    <w:p>
      <w:pPr>
        <w:pStyle w:val="Heading2"/>
      </w:pPr>
      <w:r>
        <w:t>Volltext</w:t>
      </w:r>
    </w:p>
    <w:p>
      <w:r>
        <w:t>Le présent arrêt est communiqué aux parties par plis recommandés du 05.04.2018.</w:t>
      </w:r>
    </w:p>
    <w:p>
      <w:r>
        <w:t>REPUBLIQUE ET</w:t>
      </w:r>
    </w:p>
    <w:p>
      <w:r>
        <w:t>CANTON DE GENEVE POUVOIR JUDICIAIRE C/1594/2018 ACJC/398/2018 ARRÊT DE LA COUR DE JUSTICE Chambre des baux et loyers DU MARDI 3 AVRIL 2018</w:t>
      </w:r>
    </w:p>
    <w:p>
      <w:r>
        <w:t>Entre Monsieur A______, domicilié ______, recourant contre un jugement rendu par le Tribunal des baux et loyers le 13 mars 2018, comparant par Me Karin GROBET THORENS, avocate, rue Verdaine 6, case postale 3776, 1211 Genève 3, en l'étude de laquelle il fait élection de domicile, et B______, sis ______, intimés, comparant par Me François BELLANGER, avocat, rue de Hesse 8-10, case postale 5715, 1211 Genève 11, en l'étude duquel ils font élection de domicile.</w:t>
      </w:r>
    </w:p>
    <w:p>
      <w:r>
        <w:t>- 2/4 -</w:t>
      </w:r>
    </w:p>
    <w:p>
      <w:r>
        <w:t>C/1594/2018 Vu, EN FAIT, le jugement JTBL/217/2018 rendu le 13 mars 2018, expédié pour notification aux parties le 19 mars suivant, aux termes duquel le Tribunal des baux et loyers a condamné le locataire à évacuer immédiatement de sa personne et de ses biens ainsi que de tout tiers le local commercial de 75m2 située au rez supérieur de l'immeuble sis 1______, à Genève (ch. 1 du dispositif), a autorisé le bailleur à requérir l'évacuation par la force publique du locataire dès l'entrée en force du jugement (ch. 2), a débouté les parties de toutes autres conclusions (ch. 3) et a dit que la procédure était gratuite (ch. 4); Vu le recours déposé le 22 mars 2018 par A______ contre ce jugement; Que A______ a préalablement requis la suspension du caractère exécutoire des mesures d'exécution ordonnées par le Tribunal des baux et loyers; Qu'il a conclu à ce qu'il soit sursis à l'exécution de l'évacuation jusqu'au 31 août 2018; Qu'invité à se déterminer, le bailleur, par écritures du 29 mars 2018, s'est rapporté à justice quant à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w:t>
      </w:r>
    </w:p>
    <w:p>
      <w:r>
        <w:t>- 3/4 -</w:t>
      </w:r>
    </w:p>
    <w:p>
      <w:r>
        <w:t>C/1594/2018 Qu'il se justifie de suspendre le caractère exécutoire du ch. 2 du jugement entrepris, d'une part, afin de ne pas vider le recours de son objet, et, d'autre part, afin de ne pas porter indûment atteinte aux intérêts du recourant; Que, par ailleurs, le recours n'est pas, prima facie, dénué de chance de succès; Qu'il convient également de tenir compte de la courte durée présumable de la présente procédure, jugée selon la procédure sommaire (art. 257 al. 1 CPC); Qu'enfin, l'intimé ne s'est pas opposé à la suspension du caractère exécutoire des mesures d'exécution ordonnées par les premiers juges; Qu'en conséquence, la requête du recourant sera admise. * * * * *</w:t>
      </w:r>
    </w:p>
    <w:p>
      <w:r>
        <w:t>- 4/4 -</w:t>
      </w:r>
    </w:p>
    <w:p>
      <w:r>
        <w:t>C/1594/2018 PAR CES MOTIFS, La Présidente de la Chambre des baux et loyers : Suspend le caractère exécutoire du chiffre 2 du dispositif du jugement JTBL/217/2018 rendu le 13 mars 2018 par le Tribunal des baux et loyers dans la cause C/1594/2018-8-SD.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