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ACJC/397/2021 vom 7. April 2021</w:t>
      </w:r>
    </w:p>
    <w:p>
      <w:r>
        <w:t>GE Cour de justice, 2021-04-07, FR</w:t>
      </w:r>
    </w:p>
    <w:p>
      <w:r>
        <w:rPr>
          <w:b/>
        </w:rPr>
        <w:t xml:space="preserve">Quelle: </w:t>
      </w:r>
      <w:r>
        <w:t>https://mcp.opencaselaw.ch/entscheid/ge_gerichte_ACJC_397_2021</w:t>
      </w:r>
    </w:p>
    <w:p>
      <w:r>
        <w:t>FR: GE_GERICHTE ACJC/397/2021 du 7 avril 2021</w:t>
      </w:r>
    </w:p>
    <w:p>
      <w:r>
        <w:t>IT: GE_GERICHTE ACJC/397/2021 del 7 aprile 2021</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de sorte que la voie de l'appel est ouverte.</w:t>
      </w:r>
    </w:p>
    <w:p>
      <w:r>
        <w:rPr>
          <w:b/>
        </w:rPr>
        <w:t>E. 1.2</w:t>
      </w:r>
    </w:p>
    <w:p>
      <w:r>
        <w:t>Interjeté dans les trente jours suivant la notification de la décision motivée et dans la forme prescrite par la loi (art. 130, 131, 239 et 311 al. 1 CPC), l'appel est recevable.</w:t>
      </w:r>
    </w:p>
    <w:p>
      <w:r>
        <w:rPr>
          <w:b/>
        </w:rPr>
        <w:t>E. 1.3</w:t>
      </w:r>
    </w:p>
    <w:p>
      <w:r>
        <w:t>A______ SARL et B______ seront désignés ci-après comme les appelants, la FONDATION C______ comme l'intimée et D______ SA et E______ comme les dénoncés.</w:t>
      </w:r>
    </w:p>
    <w:p>
      <w:r>
        <w:rPr>
          <w:b/>
        </w:rPr>
        <w:t>E. 2</w:t>
      </w:r>
    </w:p>
    <w:p>
      <w:r>
        <w:t>La Cour revoit la cause en fait et en droit avec un plein pouvoir d'examen (art. 310 CPC). En particulier, elle contrôle librement l'appréciation des preuves effectuée par le juge de première instance (art. 157 CPC en relation avec l'art. 310 let. b CPC).</w:t>
      </w:r>
    </w:p>
    <w:p>
      <w:r>
        <w:t>Elle applique la maxime des débats et le principe de disposition (art. 55 al. 1 et 58 al. 1 CPC).</w:t>
      </w:r>
    </w:p>
    <w:p>
      <w:r>
        <w:rPr>
          <w:b/>
        </w:rPr>
        <w:t>E. 3</w:t>
      </w:r>
    </w:p>
    <w:p>
      <w:r>
        <w:t>Les appelants reprochent au premier juge d'avoir constaté les faits de manière inexacte et violé le droit. Ils font valoir que le cambriolage survenu en ______ 2014 dans le local avait nécessité d'importants travaux exécutés par leurs soins. L'intimée avait eu connaissance, dès le 10 mars 2014, du cambriolage et des déprédations y afférentes. Celle-ci ne s'était pas renseignée sur l'ampleur des dégâts et des travaux de réparation nécessaires, de sorte que, par "son silence manifeste et volontaire", elle avait donné son accord auxdits travaux.</w:t>
      </w:r>
    </w:p>
    <w:p>
      <w:r>
        <w:t>Les appelants soutiennent également avoir établi, à satisfaction de droit, la date d'achèvement des travaux, ainsi que la valeur de ceux-ci.</w:t>
      </w:r>
    </w:p>
    <w:p>
      <w:r>
        <w:t>3.1.1 Aux termes de l'art. 837 al. 1 ch. 3 CC, les artisans et entrepreneurs notamment employés à la construction ou à la destruction de bâtiments ou d'autres ouvrages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w:t>
      </w:r>
    </w:p>
    <w:p>
      <w:r>
        <w:t>Si le débiteur de la créance est un locataire, un fermier ou une autre personne ayant un droit sur l'immeuble, les artisans et entrepreneurs n'ont le droit de requérir l'inscription d'une hypothèque légale que si le propriétaire foncier a donné son accord à l'exécution des travaux (art. 837 al. 2 CC). Les sous-traitants sont</w:t>
      </w:r>
    </w:p>
    <w:p>
      <w:r>
        <w:t>- 11/17 -</w:t>
      </w:r>
    </w:p>
    <w:p>
      <w:r>
        <w:t>C/1722/2017 aussi protégés dans ce cas (STEINAUER, Les droits réels, tome III, 2012, n° 2883a, p. 314).</w:t>
      </w:r>
    </w:p>
    <w:p>
      <w:r>
        <w:t>L'accord du propriétaire n'a pas à revêtir de forme particulière. Il peut donc être donné par actes concluants, voire tacitement si le propriétaire tolère les travaux. Il porte exclusivement sur le principe des travaux, soit sur l'exécution des travaux et non sur le contrat d'entreprise lui-même (STEINAUER, op. cit., n° 2883b, p. 314), et peut être donné avant, pendant ou après ceux-ci. Même s'il n'est pas le destinataire de l'accord du propriétaire, l'artisan ou l'entrepreneur a le fardeau de la preuve de son existence. Il devra donc concrètement s'informer auprès du propriétaire et devrait exiger un document écrit signé de sa main, même si une preuve écrite n'est pas requise par la loi (BOVEY, in Commentaire romand CC II, 2016, n° 29 et 30 ad art. 839 CC).</w:t>
      </w:r>
    </w:p>
    <w:p>
      <w:r>
        <w:t>3.1.2 Selon l'art. 839 al. 2 CC, l'inscription de l'hypothèque légale doit non seulement être requise, mais aussi obtenue, à savoir opérée au Registre foncier, au plus tard dans les quatre mois qui suivent l'achèvement des travaux (arrêt 5A_932/2014 du 16 avril 2015 consid. 3.3.1).</w:t>
      </w:r>
    </w:p>
    <w:p>
      <w:r>
        <w:t>Il s'agit d'un délai de péremption qui ne peut être ni suspendu ni interrompu, mais il peut être sauvegardé par l'annotation d'une inscription provisoire (ATF 126 III 462 consid. 2c/aa; arrêt du Tribunal fédéral 5A_518/2020 du 22 octobre 2020, consid. 3.1).</w:t>
      </w:r>
    </w:p>
    <w:p>
      <w:r>
        <w:t>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arrêt du Tribunal fédéral 5A_282/2016 du 17 janvier 2017 consid. 4.1).</w:t>
      </w:r>
    </w:p>
    <w:p>
      <w:r>
        <w:t>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consid. 2b; 106 II 22 consid. 2b et c; arrêts du Tribunal fédéral 5A_282/2016 précité consid. 4.1; 5A_932/2014 précité consid. 3.3.1 et 5A_420/2014 du 27 novembre 2014 consid. 3.1).</w:t>
      </w:r>
    </w:p>
    <w:p>
      <w:r>
        <w:t>- 12/17 -</w:t>
      </w:r>
    </w:p>
    <w:p>
      <w:r>
        <w:t>C/1722/2017</w:t>
      </w:r>
    </w:p>
    <w:p>
      <w:r>
        <w:t>Il appartient à l'entrepreneur ou à l'artisan d'établir que le délai de quatre mois est respecté (STEINAUER, op. cit., n° 2889b, p. 317).</w:t>
      </w:r>
    </w:p>
    <w:p>
      <w:r>
        <w:t>L'inscription de l'hypothèque légale n'a, pour le surplus, lieu que si le montant du gage est établi par la reconnaissance du propriétaire ou par le juge (art. 839 al. 3 CC).</w:t>
      </w:r>
    </w:p>
    <w:p>
      <w:r>
        <w:t>3.2.1 En l'espèce, il est établi que le local a subi des déprédations lors du cambriolage survenu en ______ 2014. Il ressort en particulier de l'article de presse produit, des déclarations des parties et des témoignages concordants de O______ et P______ que les fauteuils, les canapés, ainsi que les murs capitonnés de la discothèque avaient été tailladés.</w:t>
      </w:r>
    </w:p>
    <w:p>
      <w:r>
        <w:t>A teneur des devis des appelants des 3 septembre et 1er décembre 2014, les travaux de démolition, de platerie, d'isolation, de menuiserie, de plomberie, de carrelage, de peinture et d'électricité commandés par G______ SARL dépassaient amplement la réparation des dégâts précités. En effet, ces travaux avaient pour but d'améliorer et de réaménager toute la discothèque, notamment en créant un fumoir, un nouveau bar, une cabine de DJ ou encore en transformant les sanitaires. Les appelants ont d'ailleurs admis que les travaux litigieux consistaient à "tout refaire" dans le local. Le témoin P______ a également confirmé que le devis établi par A______ SARL contenait de nombreux éléments sans rapport avec le cambriolage, raison pour laquelle celui-ci n'avait pas été pris en compte dans l'indemnisation du sinistre. Le fait que l'assureur a indemnisé G______ SARL à hauteur de 460'000 fr., dont 300'000 fr. pour les dégâts matériels, n'est pas déterminant, comme soutenu par les appelants. En effet, le montant du dommage chiffré par l'assureur ne suffit pas à retenir que les travaux litigieux étaient nécessaires pour réparer les actes de vandalisme commis durant le cambriolage.</w:t>
      </w:r>
    </w:p>
    <w:p>
      <w:r>
        <w:t>Les dénoncés ont, par courrier du 10 mars 2014, informé l'intimée du cambriolage, de l'existence de déprédations et de la nécessité d'effectuer des travaux de réparation. Cela étant, l'intimée ne pouvait pas comprendre de ce courrier, qui est antérieur aux devis des appelants, que d'importants travaux de démolition, reconstruction, aménagement et transformation de la discothèque étaient envisagés. L'intimée n'a donc pas pu acquiescer à l'exécution des travaux litigieux en ne réagissant pas à ce courrier, comme soutenu par les appelants. A cet égard, l'intimée a déclaré assumer les dégâts d'eau ou d'incendie, mais que d'éventuelles déprédations étaient réglées par le locataire, ce qui n'a pas été contesté par les appelants et apparait crédible.</w:t>
      </w:r>
    </w:p>
    <w:p>
      <w:r>
        <w:t>A teneur du courrier des dénoncés du 27 février 2015, par lequel ces derniers mentionnaient à la régie que des "travaux de rénovation et de décoration intérieure" étaient exécutés dans le local, l'intimée ne pouvait pas non plus en</w:t>
      </w:r>
    </w:p>
    <w:p>
      <w:r>
        <w:t>- 13/17 -</w:t>
      </w:r>
    </w:p>
    <w:p>
      <w:r>
        <w:t>C/1722/2017 déduire la réelle nature des travaux entrepris, même dans les grandes lignes, et comprendre que ceux-ci dépassaient les travaux de réparation nécessaires suite au cambriolage. En ne réagissant pas à ce courrier, par lequel elle apprenait pour la première fois la mise en gérance du local par les dénoncés et l'exécution de travaux par ce gérant, se pose toutefois la question d'une éventuelle négligence de la part de l'intimée dans le cadre du suivi de la gestion de son local. Cela étant, une éventuelle négligence serait sans conséquence sur l'issue du litige pour les motifs qui suivront (cf. également consid. 3.2.2 et 3.2.3 infra).</w:t>
      </w:r>
    </w:p>
    <w:p>
      <w:r>
        <w:t>Le courrier des dénoncés du 4 mai 2015, faisant référence à un dégât des eaux survenu en janvier 2015 dans l'arcade voisine au local, en raison des travaux réalisés, ne renseigne pas non plus sur la nature ni l'ampleur de ceux-ci.</w:t>
      </w:r>
    </w:p>
    <w:p>
      <w:r>
        <w:t>En tous les cas, les dénoncés ont indiqué aux appelants, par courriers des 9 décembre 2014 et 12 novembre 2015, que les travaux entrepris dans le local étaient sans rapport avec la réparation des déprédations liées au cambriolage, de sorte qu'ils étaient exécutés sans l'autorisation de l'intimée. Par ces courriers, les appelants ont également été informés que G______ SARL n'était pas solvable. Ils ont toutefois poursuivi l'exécution des travaux litigieux, sans requérir l'autorisation de l'intimée ni percevoir d'acomptes.</w:t>
      </w:r>
    </w:p>
    <w:p>
      <w:r>
        <w:t>L'intimée a, pour la première fois, été informée de la nature et de l'ampleur des travaux exécutés dans le local au début du mois de juillet 2016 et a refusé de signer l'autorisation de construire y afférente, selon les déclarations non contestées du témoin T______.</w:t>
      </w:r>
    </w:p>
    <w:p>
      <w:r>
        <w:t>Il s'ensuit que le premier juge a, à juste titre, considéré que les travaux litigieux avaient été réalisés sans l'autorisation, expresse ou tacite, de l'intimée, de sorte que la condition de l'art. 837 al. 2 CC n'est pas réalisée.</w:t>
      </w:r>
    </w:p>
    <w:p>
      <w:r>
        <w:t>Partant, le jugement attaqué sera confirmé pour ce motif.</w:t>
      </w:r>
    </w:p>
    <w:p>
      <w:r>
        <w:t>3.2.2 L'inscription provisoire des hypothèques légales litigieuses a été effectuée au Registre foncier le 15 juillet 2016, de sorte que les appelants doivent établir que les travaux ont été achevés ou définitivement interrompus après le 15 mars 2016.</w:t>
      </w:r>
    </w:p>
    <w:p>
      <w:r>
        <w:t>A cet égard, ils ont produit une lettre manuscrite établie le 15 septembre 2015 par H______, sur laquelle ce dernier a rajouté à la main avoir réceptionné les travaux litigieux en date du 21 mars 2016.</w:t>
      </w:r>
    </w:p>
    <w:p>
      <w:r>
        <w:t>Cela étant, aucun élément objectif ne permet de retenir que la date d'achèvement des travaux correspondrait à celle de leur réception par G______ SARL.</w:t>
      </w:r>
    </w:p>
    <w:p>
      <w:r>
        <w:t>- 14/17 -</w:t>
      </w:r>
    </w:p>
    <w:p>
      <w:r>
        <w:t>C/1722/2017</w:t>
      </w:r>
    </w:p>
    <w:p>
      <w:r>
        <w:t>Le témoin O______ a uniquement déclaré que les travaux effectués par A______ SARL avaient été achevés en début d'année 2016, soit en février ou en mars, sans autres précisions.</w:t>
      </w:r>
    </w:p>
    <w:p>
      <w:r>
        <w:t>Il est, en revanche, établi que les travaux de revêtement des sols du local, dont la pose de la moquette, ont été achevés par une entreprise tierce le 27 février 2016. Le premier juge pouvait en déduire qu'une fois la moquette posée, seuls des travaux de peu d'importance ou accessoires pouvaient encore être effectués sur le chantier. En appel, les appelants n'allèguent pas que des travaux d'achèvement auraient encore été réalisés après la pose de la moquette. Ils se limitent à soutenir, sans autres précisions, que de "menus travaux" avaient "aisément" pu être effectués après ladite pose.</w:t>
      </w:r>
    </w:p>
    <w:p>
      <w:r>
        <w:t>S'agissant des travaux d'électricité effectués par B______, il est établi que ceux-ci n'ont pas été achevés. Ce dernier n'a toutefois pas allégué, ni a fortiori établi, la date d'interruption définitive de ses travaux. Il s'est limité à alléguer que le chantier avait été interrompu à de nombreuses reprises, notamment en raison d'altercations entre H______ et E______. Même si ce fait a été confirmé par les témoins O______ et P______, la date d'interruption définitive des travaux d'électricité sur le chantier n'est pas déterminable.</w:t>
      </w:r>
    </w:p>
    <w:p>
      <w:r>
        <w:t>Dans ces circonstances, le premier juge était fondé à retenir que les appelants, qui supportent le fardeau de la preuve, n'ont pas établi avoir achevé ou définitivement interrompu les travaux litigieux après le 15 mars 2016 et donc avoir respecté le délai de quatre mois pour requérir l'inscription des hypothèques légales litigieuses, conformément à l'art. 839 al. 2 CC.</w:t>
      </w:r>
    </w:p>
    <w:p>
      <w:r>
        <w:t>Partant, le jugement entrepris sera également confirmé pour ce motif.</w:t>
      </w:r>
    </w:p>
    <w:p>
      <w:r>
        <w:t>3.2.3 Enfin, il ressort du dossier que les travaux devisés par A______ SARL n'ont pas tous été réalisés par elle. En effet, son devis du 3 septembre 2014, à hauteur de 334'041 fr. 84, comprenait notamment la pose de la moquette. Or, il est établi que les travaux de revêtements des sols ont été exécutés par une entreprise tierce en sa qualité de sous-traitant, à savoir L______ SARL.</w:t>
      </w:r>
    </w:p>
    <w:p>
      <w:r>
        <w:t>Le devis de A______ SARL contenait également des travaux de menuiserie, de plomberie ou encore de carrelage qui ne font pas partie, à teneur du Registre du commerce, de ses compétences. A______ SARL n'a donc pas établi avoir elle-même fourni le travail facturé à hauteur de 334'041 fr. 84, soit le montant de l'hypothèque légale requise par elle.</w:t>
      </w:r>
    </w:p>
    <w:p>
      <w:r>
        <w:t>Quant à B______, il n'a pas achevé les travaux d'électricité, en particulier la sécurisation des installations électriques. Il n'a toutefois produit aucun élément objectif permettant de retenir que sa facture du 25 avril 2016, à concurrence de</w:t>
      </w:r>
    </w:p>
    <w:p>
      <w:r>
        <w:t>- 15/17 -</w:t>
      </w:r>
    </w:p>
    <w:p>
      <w:r>
        <w:t>C/1722/2017 79'682 fr. 94, correspondrait aux travaux réellement effectués dans le local. Selon les constatations de M______ SA, ceux-ci présentaient, en outre, des défauts et n'étaient pas entièrement conformes aux règles techniques.</w:t>
      </w:r>
    </w:p>
    <w:p>
      <w:r>
        <w:t>L'acceptation des travaux par G______ SARL n'est pas déterminante pour retenir que les travaux réellement réalisés par les appelants, ainsi que leur montant, correspondraient à ceux facturés.</w:t>
      </w:r>
    </w:p>
    <w:p>
      <w:r>
        <w:t>Les factures établies par les appelants, contestées par l'intimée et les dénoncés, ne sont donc pas corroborées par d'autres éléments objectifs, de sorte qu'elles équivalent à une allégation de partie.</w:t>
      </w:r>
    </w:p>
    <w:p>
      <w:r>
        <w:t>Le premier juge était ainsi fondé à retenir que la valeur des travaux litigieux, conditionnant le montant des hypothèques légales, n'a pas été établie.</w:t>
      </w:r>
    </w:p>
    <w:p>
      <w:r>
        <w:t>Partant, le jugement entrepris sera également confirmé pour ce motif.</w:t>
      </w:r>
    </w:p>
    <w:p>
      <w:r>
        <w:rPr>
          <w:b/>
        </w:rPr>
        <w:t>E. 4</w:t>
      </w:r>
    </w:p>
    <w:p>
      <w:r>
        <w:t>Les frais judiciaires d'appel seront arrêtés à 14'000 fr., mis conjointement et solidairement à la charge des appelants, qui succombent (art. 95, 96 et 106 al. 1 CPC; art. 5, 13, 17 et 35 RTFMC), et compensés avec l'avance de 21'600 fr. fournie par ceux-ci, qui reste acquise à l'Etat de Genève à due concurrence (art. 98 et 111 al. 1 CPC). Le solde de l'avance de frais de 7'600 fr. sera restitué aux appelants.</w:t>
      </w:r>
    </w:p>
    <w:p>
      <w:r>
        <w:t>Les appelants seront par ailleurs condamnés à verser à l'intimée la somme de 8'000 fr. à titre de dépens d'appel, débours et TVA compris (art. 84, 85 et 90 RTFMC, art. 25 et 26 LaCC). Il se justifie également de condamner les appelants à verser un montant de 4'000 fr. aux dénoncés, qui ont soutenu la position de l'intimée, par le biais d'un mémoire réponse de quinze pages et d'une brève duplique. * * * * *</w:t>
      </w:r>
    </w:p>
    <w:p>
      <w:r>
        <w:t>- 16/17 -</w:t>
      </w:r>
    </w:p>
    <w:p>
      <w:r>
        <w:t>C/1722/2017 PAR CES MOTIFS, La Chambre civile : A la forme : Déclare recevable l'appel interjeté le 24 septembre 2020 par A______ SARL et B______ contre le jugement JTPI/4677/2020 rendu le 9 avril 2020 par le Tribunal de première instance dans la cause C/1722/2017-1. Au fond : Confirme le jugement entrepris. Déboute les parties de toutes autres conclusions. Sur les frais : Arrête les frais judiciaires d'appel à 14'000 fr., les met à la charge de A______ SARL et B______, pris conjointement et solidairement, et les compense à due concurrence avec l'avance versée par eux, qui reste acquise à l'Etat de Genève. Invite les Services financiers du Pouvoir judiciaire à restituer 7'600 fr. à A______ SARL et B______, pris conjointement, à titre de remboursement de l'avance fournie. Condamne A______ SARL et B______, pris conjointement et solidairement, à verser 8'000 fr. à la FONDATION C______ à titre de dépens d'appel. Condamne A______ SARL et B______, pris conjointement et solidairement, à verser 4'000 fr. à D______ SA et E______, pris conjointement, à titre de dépens d'appel. Siégeant : Monsieur Cédric-Laurent MICHEL, président; Madame Pauline ERARD et Monsieur Laurent RIEBEN, juges; Madame Roxane DUCOMMUN, greffière. Le président : Cédric-Laurent MICHEL</w:t>
      </w:r>
    </w:p>
    <w:p>
      <w:r>
        <w:t>La greffière : Roxane DUCOMMUN</w:t>
      </w:r>
    </w:p>
    <w:p>
      <w:r>
        <w:t>- 17/17 -</w:t>
      </w:r>
    </w:p>
    <w:p>
      <w:r>
        <w:t>C/1722/2017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