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ACJC/395/2020 vom 21. November 2019</w:t>
      </w:r>
    </w:p>
    <w:p>
      <w:r>
        <w:t>GE Cour de justice, 2019-11-21, FR</w:t>
      </w:r>
    </w:p>
    <w:p>
      <w:r>
        <w:rPr>
          <w:b/>
        </w:rPr>
        <w:t xml:space="preserve">Quelle: </w:t>
      </w:r>
      <w:r>
        <w:t>https://mcp.opencaselaw.ch/entscheid/ge_gerichte_ACJC_395_2020</w:t>
      </w:r>
    </w:p>
    <w:p>
      <w:r>
        <w:t>FR: GE_GERICHTE ACJC/395/2020 du 21 novembre 2019</w:t>
      </w:r>
    </w:p>
    <w:p>
      <w:r>
        <w:t>IT: GE_GERICHTE ACJC/395/2020 del 21 novembre 2019</w:t>
      </w:r>
    </w:p>
    <w:p>
      <w:pPr>
        <w:pStyle w:val="Heading2"/>
      </w:pPr>
      <w:r>
        <w:t>Erwägungen</w:t>
      </w:r>
    </w:p>
    <w:p>
      <w:r>
        <w:rPr>
          <w:b/>
        </w:rPr>
        <w:t>E. 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rPr>
          <w:b/>
        </w:rPr>
        <w:t>E. 2</w:t>
      </w:r>
    </w:p>
    <w:p>
      <w:r>
        <w:t>Le recourant reproche au Tribunal d'avoir retenu que la rente AVS qu'il perçoit était insaisissable.</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2.2</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w:t>
      </w:r>
    </w:p>
    <w:p>
      <w:r>
        <w:t>- 4/6 -</w:t>
      </w:r>
    </w:p>
    <w:p>
      <w:r>
        <w:t>C/13227/2019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arrêts du Tribunal fédéral 5A_925/2012 du 5 avril 2013 consid. 4.2 et 4.3; 5A_812/2010 du 24 novembre 2011 consid. 3.2.2, publié in Pra 2012 (78) p. 531; 7B_207/2005 du 29 novembre 2005 consid. 2.3.3). Plus précisément, s'agissant du grief de l'abus de droit (art. 2 al. 2 CC), il faut distinguer si cet abus est soulevé en lien avec l'institution même du séquestre et les conditions de celui-ci, ou avec son exécution. Dans le premier cas, il faut le faire valoir dans l'opposition, dans le second, dans la plainte. Ainsi, l'abus de droit en lien avec la propriété des biens à séquestrer (ATF 129 III 203 consid. 2.4; arrêts du Tribunal fédéral 5A_925/2012 du 5 avril 2013 consid. 9.1; 5A_629/2011 du 26 avril 2012 consid. 5.1, publié in Pra 2013 (17) p. 146;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 même du séquestre est détournée de sa finalité (ATF 137 III 625 consid. 4.3; arrêts du Tribunal fédéral 5A_306/2010 du 9 août 2010 consid. 8, publié in recht 2011 p. 141; 5D_112/2007 du 11 février 2008 consid. 4.3), notamment le séquestre investigatoire (ATF 125 III 391 consid. 2d/cc; arrêt 5A_812/2010 du 24 novembre 2011 consid. 3.2.2, publié in Pra 2012 (78) p. 531), doit être soulevé dans l'opposition. En revanche, l'abus de droit en lien avec la saisissabilité d'un compte de libre passage (art. 92 al. 1 ch. 10 LP; arrêt du Tribunal fédéral 7B_22/2005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4C_62/1999 du 14 juillet 1999 consid. 3a et 3b).</w:t>
      </w:r>
    </w:p>
    <w:p>
      <w:r>
        <w:t>- 5/6 -</w:t>
      </w:r>
    </w:p>
    <w:p>
      <w:r>
        <w:t>C/13227/2019</w:t>
      </w:r>
    </w:p>
    <w:p>
      <w:r>
        <w:rPr>
          <w:b/>
        </w:rPr>
        <w:t>E. 2.3</w:t>
      </w:r>
    </w:p>
    <w:p>
      <w:r>
        <w:t>Le Tribunal examine d'office si les conditions de recevabilité sont remplies (art. 60 CPC).</w:t>
      </w:r>
    </w:p>
    <w:p>
      <w:r>
        <w:rPr>
          <w:b/>
        </w:rPr>
        <w:t>E. 2.4</w:t>
      </w:r>
    </w:p>
    <w:p>
      <w:r>
        <w:t>En l'espèce, l'intimé a, dans sa requête de séquestre, rendu vraisemblable l'existence de biens appartenant au recourant, comme il lui incombait de le faire en application de l'art. 272 al. 1 ch. 3 LP. Dès lors, le Tribunal, retenant pour le surplus que les autres conditions permettant d'ordonner un séquestre étaient réalisées, a donné suite aux conclusions de l'intimé. C'est ensuite l'Office des poursuites qui a exécuté le séquestre et décidé, en l'occurrence, du caractère saisissable de la rente AVS du recourant. Ce dernier s'en prend, dans la présente procédure, à cette décision. Il ne conteste pas le principe ou les conditions du séquestre ordonné. L'unique grief du recourant a ainsi trait à l'exécution de séquestre; il ne relève pas de la présente procédure d'opposition, mais doit être soulevé dans le cadre de la plainte prévue à l'art. 17 LP. C'est, dès lors, à tort que le Tribunal a reçu l'opposition à séquestre formée par le recourant. L'ordonnance attaquée sera ainsi annulée, et il sera statué à nouveau (art. 327 al. 3 let. b CPC) en ce sens que l'opposition du recourant sera déclarée irrecevable.</w:t>
      </w:r>
    </w:p>
    <w:p>
      <w:r>
        <w:rPr>
          <w:b/>
        </w:rPr>
        <w:t>E. 3</w:t>
      </w:r>
    </w:p>
    <w:p>
      <w:r>
        <w:t>Le recourant, qui succombe, supportera les frais judiciaires des procédures de première et de seconde instance (art. 106 al. 1 CPC), arrêtés à 1'000 fr. (art. 48 et 61 OELP), compensés avec les avances déjà opérées, acquises à L'ETAT DE GENEVE (art. 111 al. 1 CPC). Il n'y a pas lieu à allocation de dépens (art. 95 al. 3 let. c CPC). * * * * *</w:t>
      </w:r>
    </w:p>
    <w:p>
      <w:r>
        <w:t>- 6/6 -</w:t>
      </w:r>
    </w:p>
    <w:p>
      <w:r>
        <w:t>C/13227/2019 PAR CES MOTIFS, La Chambre civile : A la forme : Déclare recevable le recours formé le 23 décembre 2019 par A______ contre le jugement OSQ/49/2019 rendu le 21 novembre 2019 par le Tribunal de première instance dans la cause C/13227/2019-4 SQP. Au fond : Annule ce jugement. Cela fait, statuant à nouveau : Déclare irrecevable l'opposition formée par A______ contre l'ordonnance de séquestre rendue le 13 juin 2019 par le Tribunal de première instance. Déboute les parties de toutes autres conclusions. Sur les frais : Arrête les frais de première instance et de recours à 1'000 fr., les compense avec les avances effectuées, acquises à l'ETAT DE GENEVE, et les met à la charge de A______.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