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ACJC/394/2024 vom 22. März 2024</w:t>
      </w:r>
    </w:p>
    <w:p>
      <w:r>
        <w:t>GE Cour de justice, 2024-03-22, FR</w:t>
      </w:r>
    </w:p>
    <w:p>
      <w:r>
        <w:rPr>
          <w:b/>
        </w:rPr>
        <w:t xml:space="preserve">Quelle: </w:t>
      </w:r>
      <w:r>
        <w:t>https://mcp.opencaselaw.ch/entscheid/ge_gerichte_ACJC_394_2024</w:t>
      </w:r>
    </w:p>
    <w:p>
      <w:r>
        <w:t>FR: GE_GERICHTE ACJC/394/2024 du 22 mars 2024</w:t>
      </w:r>
    </w:p>
    <w:p>
      <w:r>
        <w:t>IT: GE_GERICHTE ACJC/394/2024 del 22 marzo 2024</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w:t>
      </w:r>
    </w:p>
    <w:p>
      <w:r>
        <w:t>- 3/5 -</w:t>
      </w:r>
    </w:p>
    <w:p>
      <w:r>
        <w:t>C/24419/2023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- 4/5 -</w:t>
      </w:r>
    </w:p>
    <w:p>
      <w:r>
        <w:t>C/24419/2023</w:t>
      </w:r>
    </w:p>
    <w:p>
      <w:r>
        <w:t>Il résulte de ce qui précède que le droit d'être entendue de la partie recourante a été violé puisqu'elle n'a pas été valablement convoquée à l'audience du 12 février 2024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Il n'y a pas lieu d'allouer de dépens à la partie recourante, l’art. 107 al. 2 CPC ne permettant pas de mettre des dépens à la charge de l’Etat de Genève. * * * * *</w:t>
      </w:r>
    </w:p>
    <w:p>
      <w:r>
        <w:t>- 5/5 -</w:t>
      </w:r>
    </w:p>
    <w:p>
      <w:r>
        <w:t>C/24419/2023 PAR CES MOTIFS, La Chambre civile :</w:t>
      </w:r>
    </w:p>
    <w:p>
      <w:r>
        <w:t>Annule le jugement JTPI/2142/2024 rendu le 12 février 2024 par le Tribunal de première instance dans la cause C/24419/2023-19 SFC. Renvoie la cause au Tribunal de première instance pour nouvelle décision. Déboute les parties de toutes autres conclusions. Sur les frais : Arrête les frais judiciaires du recours à 220 fr. et les met à la charge de l'Etat de Genève. Dit qu'il n'est pas alloué de dépens de recours. Siégeant : Madame Pauline ERARD, présidente; Madame Nathalie LANDRY-BARTHE,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