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ACJC/393/2023 vom 15. Februar 2023</w:t>
      </w:r>
    </w:p>
    <w:p>
      <w:r>
        <w:t>GE Cour de justice, 2023-02-15, FR</w:t>
      </w:r>
    </w:p>
    <w:p>
      <w:r>
        <w:rPr>
          <w:b/>
        </w:rPr>
        <w:t xml:space="preserve">Quelle: </w:t>
      </w:r>
      <w:r>
        <w:t>https://mcp.opencaselaw.ch/entscheid/ge_gerichte_ACJC_393_2023</w:t>
      </w:r>
    </w:p>
    <w:p>
      <w:r>
        <w:t>FR: GE_GERICHTE ACJC/393/2023 du 15 février 2023</w:t>
      </w:r>
    </w:p>
    <w:p>
      <w:r>
        <w:t>IT: GE_GERICHTE ACJC/393/2023 del 15 febbraio 2023</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2.1</w:t>
      </w:r>
    </w:p>
    <w:p>
      <w:r>
        <w:t>La cognition de la Cour est limitée à la violation du droit et à la constatation manifestement inexacte des faits (art. 320 CPC). Ainsi, l'autorité de recours n'examine que les constatations de fait critiquées par le recourant et dont celui-ci démontre qu'elles sont manifestement inexactes, c'est-à-dire arbitraires (HOHL, op. cit., n° 2307 p. 422, n° 2510 p. 452 et n° 2515 p. 453).</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 1; HOHL, op. cit., n° 1637 p. 299).</w:t>
      </w:r>
    </w:p>
    <w:p>
      <w:r>
        <w:t>- 4/6 -</w:t>
      </w:r>
    </w:p>
    <w:p>
      <w:r>
        <w:t>C/2547/2023 Dans le cadre du recours contre l'ordonnance de refus de séquestre, la procédure conserve ce caractère unilatéral, car, pour assurer son efficacité, le séquestre doit être exécuté à l'improviste; partant, il n'y a pas lieu d'inviter le débiteur à présenter ses observations (ATF 107 III 29 consid. 2 et 3; arrêts du Tribunal fédéral 5A_344/2010 du 8 juin 2010 consid. 5, in RSPC 2010 p. 400, et 5A_279/2010 du 24 juin 2010 consid. 4). L'art. 322 CPC est par conséquent inapplicable dans un tel cas.</w:t>
      </w:r>
    </w:p>
    <w:p>
      <w:r>
        <w:rPr>
          <w:b/>
        </w:rPr>
        <w:t>E. 3</w:t>
      </w:r>
    </w:p>
    <w:p>
      <w:r>
        <w:t>Le recourant reproche au Tribunal de ne pas avoir pris en considération les avis bancaires déposés à l'appui de sa requête, dont il admet au demeurant qu'il avait omis de les joindre à son acte du 7 février 2023.</w:t>
      </w:r>
    </w:p>
    <w:p>
      <w:r>
        <w:rPr>
          <w:b/>
        </w:rPr>
        <w:t>E. 3.1</w:t>
      </w:r>
    </w:p>
    <w:p>
      <w:r>
        <w:t>Aux termes de l'art. 272 al. 1 LP, le séquestre est autorisé à condition que le créancier rende vraisemblable que sa créance existe (ch. 1), qu'on est en présence d'un cas de séquestre (ch. 2) et qu'il existe des biens appartenant au débiteur (ch. 3). Comme cas de séquestre, l'art. 271 al. 1 ch. 6 LP prévoit notamment que le créancier de la dette échue et non garantie par gage peut requérir le séquestre des biens du débiteur qui se trouvent en Suisse lorsque le créancier possède contre le débiteur, un titre de mainlevée définitive.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leur genre seulement (ATF 107 III 33 consid. 5; 100 III 25 consid. 1a; arrêt du Tribunal fédéral 7B.130/2001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 Dans le cadre d'une procédure sommaire, la preuve des faits allégués doit être apportée par titres (art. 254 CPC). Ce moyen de preuve est soumis à la libre appréciation des preuves du tribunal (art. 157 CPC). Les faits à l'origine du séquestre doivent être rendus simplement vraisemblables (art. 272 LP; STOFFEL/CHABLOZ, op. cit., 2005, n° 7 et 11 ad art. 278 LP). Tel est le cas lorsque, se fondant sur des éléments objectifs, le juge acquiert l'impression que les faits pertinents se sont produits, mais sans qu'il doive exclure pour autant</w:t>
      </w:r>
    </w:p>
    <w:p>
      <w:r>
        <w:t>- 5/6 -</w:t>
      </w:r>
    </w:p>
    <w:p>
      <w:r>
        <w:t>C/2547/2023 la possibilité qu'ils se soient déroulés autrement (ATF 138 III 232 consid. 4.1.1; ATF 130 III 321 consid. 3.3; STOFFEL/CHABLOZ, op. cit., n° 3 ad art. 272 LP). De simples allégations de partie, même plausibles, ne suffisent pas (MEIER-DIETERLE, in KUKO SchKG, 2ème édition, 2014, N 14 ad art. 272 LP).</w:t>
      </w:r>
    </w:p>
    <w:p>
      <w:r>
        <w:rPr>
          <w:b/>
        </w:rPr>
        <w:t>E. 3.2</w:t>
      </w:r>
    </w:p>
    <w:p>
      <w:r>
        <w:t>Les conclusions de toute demande doivent être formulées de manière à ce qu'elles puissent être reprises telles quelles dans le dispositif du jugement en cas d'admission de la demande (ATF 142 III 102 consid, 5.3.1).</w:t>
      </w:r>
    </w:p>
    <w:p>
      <w:r>
        <w:rPr>
          <w:b/>
        </w:rPr>
        <w:t>E. 3.3</w:t>
      </w:r>
    </w:p>
    <w:p>
      <w:r>
        <w:t>En l'espèce, le recourant est au bénéfice d'un titre de mainlevée définitive représenté par le jugement du Tribunal du 18 novembre 2021. Il rend vraisemblable, par les relevés bancaires produits, que sa débitrice a détenu des avoirs sur des comptes ouverts auprès des établissements désignés, contrairement à ce qu'a retenu le premier juge en omettant de prendre en considération les pièces produites. Le recourant s'est toutefois abstenu de donner des éléments sur le lieu de localisation des créances, en particulier de désigner soit le siège des banques, soit des succursales de celles-ci; or, il paraît résulter des pièces produites que seraient concernés divers cantons, et donc divers arrondissements de poursuite, ce qui pourrait nécessiter la désignation d'un Office de poursuite "leader" (Lead- Betreibungsamt; ATF 148 III 138 consid. 3 et 4).</w:t>
      </w:r>
    </w:p>
    <w:p>
      <w:r>
        <w:t>En tout état, les conclusions de la requête de séquestre ne pourraient être reprises telles quelles, faute de mention précise dans celles-ci d'adresses de localisation des banques concernées cas échéant par les créances de la débitrice.</w:t>
      </w:r>
    </w:p>
    <w:p>
      <w:r>
        <w:t>Le recours est ainsi infondé dans son résultat, de sorte qu'il sera rejeté.</w:t>
      </w:r>
    </w:p>
    <w:p>
      <w:r>
        <w:rPr>
          <w:b/>
        </w:rPr>
        <w:t>E. 4</w:t>
      </w:r>
    </w:p>
    <w:p>
      <w:r>
        <w:t>Le recourant, qui succombe, supportera les frais de son recours (art. 106 al. 1CPC), arrêtés à 1'125 fr. (art. 48, 61 OELP), couverts par l'avance opérée, acquise à l'Etat de Genève (art. 111 al. 1 CPC).</w:t>
      </w:r>
    </w:p>
    <w:p>
      <w:r>
        <w:t>* * * * *</w:t>
      </w:r>
    </w:p>
    <w:p>
      <w:r>
        <w:t>- 6/6 -</w:t>
      </w:r>
    </w:p>
    <w:p>
      <w:r>
        <w:t>C/2547/2023 PAR CES MOTIFS, La Chambre civile : A la forme : Déclare recevable le recours formé le 20 février 2023 par A______ contre l’ordonnance SQ/236/2023 rendue le 15 février 2023 par le Tribunal de première instance dans la cause C/2547/2023-12 SQP. Au fond : Rejette ce recours. Sur les frais du recours : Arrête les frais judiciaires du recours à 1'125 fr., compensés avec l'avance opérée, acquise à l'Etat de Genève et les met à la charge de A______.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