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ACJC/391/2023 vom 25. Oktober 2022</w:t>
      </w:r>
    </w:p>
    <w:p>
      <w:r>
        <w:t>GE Cour de justice, 2022-10-25, FR</w:t>
      </w:r>
    </w:p>
    <w:p>
      <w:r>
        <w:rPr>
          <w:b/>
        </w:rPr>
        <w:t xml:space="preserve">Quelle: </w:t>
      </w:r>
      <w:r>
        <w:t>https://mcp.opencaselaw.ch/entscheid/ge_gerichte_ACJC_391_2023</w:t>
      </w:r>
    </w:p>
    <w:p>
      <w:r>
        <w:t>FR: GE_GERICHTE ACJC/391/2023 du 25 octobre 2022</w:t>
      </w:r>
    </w:p>
    <w:p>
      <w:r>
        <w:t>IT: GE_GERICHTE ACJC/391/2023 del 25 ottobre 2022</w:t>
      </w:r>
    </w:p>
    <w:p>
      <w:pPr>
        <w:pStyle w:val="Heading2"/>
      </w:pPr>
      <w:r>
        <w:t>Erwägungen</w:t>
      </w:r>
    </w:p>
    <w:p>
      <w:r>
        <w:rPr>
          <w:b/>
        </w:rPr>
        <w:t>E. 1.1</w:t>
      </w:r>
    </w:p>
    <w:p>
      <w:r>
        <w:t>S'agissant d'une procédure de mainlevée, seule la voie du recours est ouverte (art. 319 let. b ch. 1 et 309 let. b ch. 3 CPC). La procédure sommaire s'applique (art. 251 let. a CPC). Interjeté dans le délai de 10 jours prescrit et selon la forme requise par la loi (art. 321 al. 1 et 2 CPC), le recours est recevable.</w:t>
      </w:r>
    </w:p>
    <w:p>
      <w:r>
        <w:rPr>
          <w:b/>
        </w:rPr>
        <w:t>E. 1.2</w:t>
      </w:r>
    </w:p>
    <w:p>
      <w:r>
        <w:t>Dans le cadre d'un recours, l'autorité a un plein pouvoir d'examen en droit, mais un pouvoir limité à l'arbitraire en fait (art. 320 CPC).</w:t>
      </w:r>
    </w:p>
    <w:p>
      <w:r>
        <w:rPr>
          <w:b/>
        </w:rPr>
        <w:t>E. 2</w:t>
      </w:r>
    </w:p>
    <w:p>
      <w:r>
        <w:t>La recourante fait grief au premier juge de n'avoir pas prononcé la mainlevée et d'avoir considéré que le contrat avait été suspendu dès le 20 juillet 2020 et qu'elle n'avait pas rendu vraisemblable avoir fourni sa prestation pendant la période de référence, soit du 15 juillet 2020 au 14 juillet 2021.</w:t>
      </w:r>
    </w:p>
    <w:p>
      <w:r>
        <w:t>2.1.1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148 III 145 consid. 4.1.1.; 145 III 20 consid. 4.1.1; 140 III 456 consid. 2.2.1; 139 III 297 consid. 2.3.1; 136 III 624 consid. 4.2.2; 136 III 627 consid.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2.1.2 Un contrat écrit justifie en principe la mainlevée provisoire de l'opposition pour la somme d'argent incombant au poursuivi lorsque les conditions d'exigibilité de la dette sont établies (ATF 148 III 145 consid. 4.3.1.2). Selon la jurisprudence, celui qui signe un texte comportant une référence expresse à des conditions générales est lié au même titre que celui qui appose sa signature sur le texte même de celles-ci, quand bien même il ne les aurait pas lues (ATF 119 II 443 consid. 1a; arrêt du Tribunal fédéral 5P.96/1996 du 29 mai 1996, in SJ 1996 p. 623). Les conditions générales font alors partie intégrante du contrat (ATF 133 III 675 consid. 3.3).</w:t>
      </w:r>
    </w:p>
    <w:p>
      <w:r>
        <w:t>- 6/9 - C/2090/2022 2.1.3 Le poursuivi peut se prévaloir de tous les moyens de droit civil – exceptions ou objections – qui infirment la reconnaissance de dette (ATF 145 III 20 consid. 4.1.2 et la référence; 131 III 268 consid. 3.2). Le poursuivi n'a pas à apporter la preuve absolue (ou stricte) de ses moyens libératoires, mais seulement à les rendre vraisemblables, en principe par titre (art. 254 al. 1 CPC; ATF 145 III 20 consid. 4.1.2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Lorsque, pour faire échec à la mainlevée fondée sur un contrat bilatéral, le poursuivi allègue que le poursuivant, qui doit prester en premier, n'a pas ou pas correctement exécuté sa propre prestation (exception d'inexécution au sens de l'art. 82 CO), la mainlevée ne peut être accordée que si le créancier est en mesure de prouver immédiatement le contraire (ATF 136 III 627 consid. 2; arrêts du Tribunal fédéral 5A_465/2014 du 20 août 2014 consid. 7.2.1.2; 5A_326/2011 du</w:t>
      </w:r>
    </w:p>
    <w:p>
      <w:r>
        <w:rPr>
          <w:b/>
        </w:rPr>
        <w:t>E. 2.2</w:t>
      </w:r>
    </w:p>
    <w:p>
      <w:r>
        <w:t>En l'espèce, la recourante reproche au Tribunal d'avoir retenu que le contrat avait été suspendu d'un commun accord entre les parties. Ce grief est fondé. En effet, aucun élément du dossier ne rend vraisemblable ce fait. Si l'intimé a certes adressé un courrier électronique en ce sens à la recourante en juillet 2020, il ne résulte pas du dossier que la recourante aurait accepté de suspendre les effets du contrat. Au contraire, la recourante a adressé deux factures à l'intimé, relatives aux périodes du 15 juillet 2020 au 14 janvier 2021 et du 15 janvier 2021 au 14 janvier 2022. Une suspension du contrat d'abonnement n'a pas été convenue entre les parties. A supposer qu'une telle suspension ait été possible, il apparaît que l'intimée n'a pas communiqué sa volonté conformément à la forme requise par le contrat, soit par lettre recommandée. Il en irait de même s'il fallait considérer que l'intimé avait voulu résilier le contrat, pour les mêmes motifs. Par ailleurs, il résulte du contrat d'abonnement signé par les parties et des conditions générales faisant partie intégrante de celui-ci, qu'il peut être résilié trois mois avant son terme. Or, en faisant part de sa volonté, le 20 juillet 2020, à l'intimée, de suspendre (cas échéant résilier) ledit contrat, l'intimé n'a pas non plus respecté le terme de celui-ci. En effet, que le terme soit au mois de mars (mois correspondant à la signature du contrat), au 12 juillet (date correspondant au contrat conclu en son temps avec E______) ou au 15 juillet (conformément aux</w:t>
      </w:r>
    </w:p>
    <w:p>
      <w:r>
        <w:t>- 7/9 - C/2090/2022 précisions figurant dans l'art. 4 du contrat), ce qui ne peut être déterminé avec certitude au vu du dossier, une suspension ou une résiliation n'aurait pu prendre effet que pour le mois de mars 2021 respectivement pour le mois de juillet 2021. Enfin, la recourante a rendu vraisemblable avoir fourni sa prestation. L'allégation de l'intimé selon laquelle le système d'alarme n'aurait plus été en fonction n'est corroborée par aucun élément du dossier. En particulier, la photographie versée à la procédure, laquelle n'est pas datée et dont la Cour ignore s'il s'agit du système présent dans les locaux de l'intimé, est dénuée de force probante.</w:t>
      </w:r>
    </w:p>
    <w:p>
      <w:r>
        <w:rPr>
          <w:b/>
        </w:rPr>
        <w:t>E. 2.3</w:t>
      </w:r>
    </w:p>
    <w:p>
      <w:r>
        <w:t>Au vu de ces éléments, le recours sera admis, le jugement annulé et il sera statué à nouveau, en ce sens que la mainlevée provisoire requise sera prononcée (art. 327 al. 3 let. b CPC), sous réserve du poste 2 relatif aux frais d'intervention selon l'art. 106 CO qui ne sont pas fondés à teneur du dossier. 3. 3.1 Lorsque l'autorité de recours statue à nouveau, elle se prononce sur les frais de première instance (art. 318 al. 3 CPC applicable par analogie; JEANDIN, Commentaire romand CPC, 2019, n° 9 ad art. 327 CPC). En l'espèce, la quotité de l'émolument fixée par le premier juge à 200 fr., conformément à l'art. 48 OELP, n'est pas remise en cause par les parties, de sorte qu'elle sera confirmée. Les frais seront mis à la charge de l'intimé, qui succombe (art. 106 al. 1 CPC), et compensés avec l'avance de même montant fournie par la recourante, qui demeure acquise à l'Etat de Genève (art. 111 al. 1 CPC). L'intimé sera condamné à rembourser à la recourante le montant de son avance. 3.2 Les frais judiciaires du recours, arrêtés à 300 fr. (art. 48 et 61 OELP), seront mis à la charge de l'intimé. Ils seront compensés avec l'avance de même montant fournie par la recourante, acquise à l'Etat de Genève (art. 111 al. 1 CPC). L'intimé sera donc condamné à lui en rembourser le montant à ce titre. Les dépens alloués à la recourante seront fixés à 500 fr. pour la première instance, et au même montant pour la seconde, recours débours et TVA inclus (art. 84, 85, 88, 89 et 90 RTTFMC). * * * * *</w:t>
      </w:r>
    </w:p>
    <w:p>
      <w:r>
        <w:t>- 8/9 - C/2090/2022 PAR CES MOTIFS, La Chambre civile : A la forme : Déclare recevable le recours interjeté le 7 novembre 2022 par A______ SARL contre le jugement JTPI/12684/2022 rendu le 25 octobre 2022 par le Tribunal de première instance dans la cause C/2090/2022-23 SML. Au fond : Annule ce jugement. Cela fait et statuant à nouveau: Prononce la mainlevée provisoire de l'opposition formée au commandement de payer, poursuite n° 1______, pour le poste n° 1. Rejette la requête pour le surplus. Arrête les frais judiciaires de première instance à 200 fr., les met à la charge de B______ et dit qu'ils sont compensés avec l'avance fournie, acquise à l'Etat de Genève. Condamne B______ à verser à A______ SARL la somme de 200 fr. à titre de remboursement de son avance. Condamne B______ à payer à A______ SARL 500 fr. au titre de dépens de la première instance. Déboute les parties de toutes autres conclusions. Sur les frais de recours : Arrête les frais judiciaires à 300 fr., les met à la charge de B______ et dit qu'ils sont compensés avec l'avance fournie, acquise à l'Etat de Genève. Condamne B______ à verser à A______ SARL la somme de 300 fr. à titre de remboursement de son avance. Condamne B______ à payer à A______ SARL 500 fr. au titre de dépens de recours. Siégeant : Madame Pauline ERARD, présidente; Madame Sylvie DROIN, Madame Nathalie LANDRY-BARTHE, juges; Madame Marie-Pierre GROSJEAN, greffière. La présidente : Pauline ERARD</w:t>
      </w:r>
    </w:p>
    <w:p>
      <w:r>
        <w:t>La greffière : Marie-Pierre GROSJEAN</w:t>
      </w:r>
    </w:p>
    <w:p>
      <w:r>
        <w:t>- 9/9 - C/2090/2022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septembre 2011 consid. 3.2 et 3.3 [en matière de prêt]; 5A_367/2007 du 15 octobre 2007 consid. 3.1; KRAUSKOPF, La mainlevée provisoire: quelques jurisprudences récentes, in JdT 2008 II 23 ss, p.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