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ACJC/38/2026 vom 12. Januar 2026</w:t>
      </w:r>
    </w:p>
    <w:p>
      <w:r>
        <w:t>GE Cour de justice, 2026-01-12, FR</w:t>
      </w:r>
    </w:p>
    <w:p>
      <w:r>
        <w:rPr>
          <w:b/>
        </w:rPr>
        <w:t xml:space="preserve">Quelle: </w:t>
      </w:r>
      <w:r>
        <w:t>https://mcp.opencaselaw.ch/entscheid/ge_gerichte_ACJC_38_2026</w:t>
      </w:r>
    </w:p>
    <w:p>
      <w:r>
        <w:t>FR: GE_GERICHTE ACJC/38/2026 du 12 janvier 2026</w:t>
      </w:r>
    </w:p>
    <w:p>
      <w:r>
        <w:t>IT: GE_GERICHTE ACJC/38/2026 del 12 gennaio 2026</w:t>
      </w:r>
    </w:p>
    <w:p>
      <w:pPr>
        <w:pStyle w:val="Heading2"/>
      </w:pPr>
      <w:r>
        <w:t>Volltext</w:t>
      </w:r>
    </w:p>
    <w:p>
      <w:r>
        <w:t>Le présent arrêt est communiqué aux parties par plis recommandés du 12 janvier 2026.</w:t>
      </w:r>
    </w:p>
    <w:p>
      <w:r>
        <w:t>REPUBLIQUE ET</w:t>
      </w:r>
    </w:p>
    <w:p>
      <w:r>
        <w:t>CANTON DE GENEVE POUVOIR JUDICIAIRE C/5446/2025 ACJC/38/2026 ARRÊT DE LA COUR DE JUSTICE Chambre civile DU LUNDI 12 JANVIER 2026</w:t>
      </w:r>
    </w:p>
    <w:p>
      <w:r>
        <w:t>Entre Monsieur A______, domicilié c/o Madame B______, ______ [GE], recourant contre un jugement rendu par la 18ème Chambre du Tribunal de première instance de ce canton le 25 novembre 2025, représenté par Me Damien MENUT, avocat, Menut Winiger Revelo Avocats, rue des Glacis-de-Rive 23, 1207 Genève, et C______, sise ______, France, intimée.</w:t>
      </w:r>
    </w:p>
    <w:p>
      <w:r>
        <w:t>- 2/4 -</w:t>
      </w:r>
    </w:p>
    <w:p>
      <w:r>
        <w:t>C/5446/2025 Vu, EN FAIT, le jugement JTPI/16106/2025, rendu le 25 novembre 2025 par le Tribunal de première instance dans la présente cause prononçant, à concurrence de 62'880 fr. 34 et 13'521 fr. 50, intérêts en sus, la mainlevée provisoire de l'opposition formée par A______ au commandement de payer, poursuite n° 1______, notifié à la requête de C______; Vu le recours formé contre ce jugement par A______; Attendu que la partie recourante a conclu, à titre préalable, à la suspension du caractère exécutoire du jugement précité faisant valoir que l'octroi de l'effet suspensif lui permettrait d'éviter de devoir déposer une action en libération de dette; Que la partie intimée a conclu au rejet de la requête d'effet suspensif; Considérant, EN DROIT,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le fait d'être exposé au paiement d'une somme d'argent n'entraîne, en principe, aucun préjudice irréparable, dans la mesure où l'intéressé peut s'acquitter du montant et pourra en obtenir la restitution s'il obtient finalement gain de cause (ATF 138 III 333 consid. 1.3.1;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Qu'en l'espèce, la partie recourante n'allègue pas qu'elle serait exposée à d'importantes difficultés financières si elle devait s'acquitter du montant litigieux, ni qu'elle ne pourrait pas en obtenir remboursement si elle obtenait gain de cause à l'issue de la procédure devant la Cour; Qu'en tout état, si elle estime ne pas devoir le montant en question, la partie recourante peut éviter la continuation de la poursuite en déposant une action en libération de dette; Qu'en effet, éviter au poursuivi de devoir déposer une action en libération de dette ne constitue pas, en lui-même, un motif suffisant pour suspendre l'effet exécutoire attaché à une décision de mainlevée (arrêt du Tribunal fédéral 5A_578/2016 du 1er septembre 2016, consid. 2.3); Que si tel était le cas, l'effet suspensif devrait être systématiquement accordé à tout recours formé contre une décision prononçant la mainlevée, ce qui irait à l'encontre du</w:t>
      </w:r>
    </w:p>
    <w:p>
      <w:r>
        <w:t>- 3/4 -</w:t>
      </w:r>
    </w:p>
    <w:p>
      <w:r>
        <w:t>C/5446/2025 système tel qu'il a été conçu par le législateur, qui n'a pas prévu d'exception au principe selon lequel le recours ne suspend pas le caractère exécutoire de la décision entreprise; Que sa requête d'effet suspensif sera par conséquent rejetée; Qu'il sera statué sur les frais liés à la présente décision dans l'arrêt rendu sur le fond (art. 104 al. 3 CPC). * * * * *</w:t>
      </w:r>
    </w:p>
    <w:p>
      <w:r>
        <w:t>- 4/4 -</w:t>
      </w:r>
    </w:p>
    <w:p>
      <w:r>
        <w:t>C/5446/2025 PAR CES MOTIFS, La Chambre civile : Statuant sur requête de suspension de l'effet exécutoire du jugement entrepris : Rejette la requête de A______ tendant à la suspension de l'effet exécutoire attaché au jugement JTPI/16106/2025 rendu le 25 novembre 2025 par le Tribunal de première instance dans la cause C/5446/2025. Dit qu'il sera statué sur les frais liés à la présente décision dans l'arrêt rendu sur le fond. Siégeant : Madame Fabienne GEISINGER-MARIETHOZ, présidente; Madame Laura SESSA, greffière. La présidente : Fabienne GEISINGER-MARIETHOZ</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