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ACJC/38/2019 vom 11. Januar 2019</w:t>
      </w:r>
    </w:p>
    <w:p>
      <w:r>
        <w:t>GE Cour de justice, 2019-01-11, FR</w:t>
      </w:r>
    </w:p>
    <w:p>
      <w:r>
        <w:rPr>
          <w:b/>
        </w:rPr>
        <w:t xml:space="preserve">Quelle: </w:t>
      </w:r>
      <w:r>
        <w:t>https://mcp.opencaselaw.ch/entscheid/ge_gerichte_ACJC_38_2019</w:t>
      </w:r>
    </w:p>
    <w:p>
      <w:r>
        <w:t>FR: GE_GERICHTE ACJC/38/2019 du 11 janvier 2019</w:t>
      </w:r>
    </w:p>
    <w:p>
      <w:r>
        <w:t>IT: GE_GERICHTE ACJC/38/2019 del 11 gennaio 2019</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2</w:t>
      </w:r>
    </w:p>
    <w:p>
      <w:r>
        <w:t>Les conclusions, les allégations de faits et les preuves nouvelles sont irrecevables (art. 326 al. 1 CPC).</w:t>
      </w:r>
    </w:p>
    <w:p>
      <w:r>
        <w:t>- 8/13 -</w:t>
      </w:r>
    </w:p>
    <w:p>
      <w:r>
        <w:t>C/3712/2018</w:t>
      </w:r>
    </w:p>
    <w:p>
      <w:r>
        <w:t>En l'espèce, la recourante a versé à la procédure la cédule hypothécaire originale, dont elle avait déjà produit une copie en première instance. Il ne s'agit dès lors pas d'une pièce nouvelle.</w:t>
      </w:r>
    </w:p>
    <w:p>
      <w:r>
        <w:rPr>
          <w:b/>
        </w:rPr>
        <w:t>E. 3</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De jurisprudence constante, le juge n'a ni à revoir ni à interpréter le titre qui est produit (ATF 143 III 564 consid. 4.3.2 et les références citées).</w:t>
      </w:r>
    </w:p>
    <w:p>
      <w:r>
        <w:rPr>
          <w:b/>
        </w:rPr>
        <w:t>E. 4</w:t>
      </w:r>
    </w:p>
    <w:p>
      <w:r>
        <w:t>La recourante reproche au Tribunal de ne pas avoir prononcé la mainlevée provisoire de l'opposition formée au commandement de payer.</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w:t>
      </w:r>
    </w:p>
    <w:p>
      <w:r>
        <w:t>- 9/13 -</w:t>
      </w:r>
    </w:p>
    <w:p>
      <w:r>
        <w:t>C/3712/2018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2012 II p. 27).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w:t>
      </w:r>
    </w:p>
    <w:p>
      <w:r>
        <w:t>Il en va de même de l'identité entre le créancier et le poursuivant. La production par le créancier du transfert de propriété à fin de garantie de la cédule hypothécaire établit sa qualité de propriétaire de celle-ci (AEBI, op. cit., p. 38).</w:t>
      </w:r>
    </w:p>
    <w:p>
      <w:r>
        <w:t>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 fixées dans le contrat de prêt ou dans les conditions générales auxquelles il se réfère (AEBI, op. cit., p. 39). 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il faut que le débiteur poursuivi ait reconnu sa qualité de débiteur de la cédule, ou que cette qualité résulte de l'acte de cession de propriété de la cédule qu'il a signé (ATF 129 II 12 consid. 2.5; STAEHELIN, in Basler Kommentar ZGB II, 2011, n. 6 ad art. 856a CC et n. 7 ad art. 858a CC).</w:t>
      </w:r>
    </w:p>
    <w:p>
      <w:r>
        <w:t>- 10/13 -</w:t>
      </w:r>
    </w:p>
    <w:p>
      <w:r>
        <w:t>C/3712/2018</w:t>
      </w:r>
    </w:p>
    <w:p>
      <w:r>
        <w:rPr>
          <w:b/>
        </w:rPr>
        <w:t>E. 4.2</w:t>
      </w:r>
    </w:p>
    <w:p>
      <w:r>
        <w:t>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no 22 ad art. 818 CC).</w:t>
      </w:r>
    </w:p>
    <w:p>
      <w:r>
        <w:rPr>
          <w:b/>
        </w:rPr>
        <w:t>E. 4.3</w:t>
      </w:r>
    </w:p>
    <w:p>
      <w:r>
        <w:t>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w:t>
      </w:r>
    </w:p>
    <w:p>
      <w:r>
        <w:rPr>
          <w:b/>
        </w:rPr>
        <w:t>E. 4.4</w:t>
      </w:r>
    </w:p>
    <w:p>
      <w:r>
        <w:t>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op. cit., p. 38).</w:t>
      </w:r>
    </w:p>
    <w:p>
      <w:r>
        <w:rPr>
          <w:b/>
        </w:rPr>
        <w:t>E. 4.5</w:t>
      </w:r>
    </w:p>
    <w:p>
      <w:r>
        <w:t>Selon l'art. 847 al. 1 CC, sauf convention contraire, la cédule hypothécaire peut être dénoncée par le créancier ou le débiteur pour la fin d'un mois moyennant un préavis de six mois (art. 847 al. 1 CC).</w:t>
      </w:r>
    </w:p>
    <w:p>
      <w:r>
        <w:t>Il suffit que le délai de six mois soit écoulé au jour de la notification du commandement de payer (FAVRE/ LINIGER, Cédules hypothécaires et procédure de mainlevée, SJ 1995, p. 107; ATF 84 II 645 = JT 1959 I 493).</w:t>
      </w:r>
    </w:p>
    <w:p>
      <w:r>
        <w:rPr>
          <w:b/>
        </w:rPr>
        <w:t>E. 4.6</w:t>
      </w:r>
    </w:p>
    <w:p>
      <w:r>
        <w:t>A teneur de l'art. 180 al. 1 CPC, une copie du titre peut être produite à la place de l'original. Le tribunal ou les parties peuvent exiger la production de l'original ou d'une copie certifiée conforme lorsqu'il y a des raisons fondées de douter de l'authenticité du titre.</w:t>
      </w:r>
    </w:p>
    <w:p>
      <w:r>
        <w:t>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w:t>
      </w:r>
    </w:p>
    <w:p>
      <w:r>
        <w:t>- 11/13 -</w:t>
      </w:r>
    </w:p>
    <w:p>
      <w:r>
        <w:t>C/3712/2018 les art. 80ss LP (SCHWEIZER, in CPC, Code de procédure civile commenté, Bâle, 2011, n. 2 et 3 ad art. 180 CPC; DENYS, Cédule hypothécaire et mainlevée, in JdT 2008 II 3, n. 5.1).</w:t>
      </w:r>
    </w:p>
    <w:p>
      <w:r>
        <w:rPr>
          <w:b/>
        </w:rPr>
        <w:t>E. 4.7</w:t>
      </w:r>
    </w:p>
    <w:p>
      <w:r>
        <w:t>En l'espèce, la recourante a sollicité la mainlevée provisoire des oppositions formées au commandement de payer en se fondant sur la cédule hypothécaire au porteur de 200'000 fr., établie le 4 mars 2016.</w:t>
      </w:r>
    </w:p>
    <w:p>
      <w:r>
        <w:t>C'est à tort que le Tribunal a retenu que la recourante n'avait pas produit la cédule sur laquelle elle se fondait, pour la débouter de ses conclusions. Contrairement à ce que soutient l'intimée, la recourante n'était pas tenue de produire la cédule hypothécaire originale, l'authenticité de la copie versée à la procédure n'ayant pas été remise en cause.</w:t>
      </w:r>
    </w:p>
    <w:p>
      <w:r>
        <w:t>Il convient dès lors d'examiner si la recourante dispose d'un titre de mainlevée provisoire.</w:t>
      </w:r>
    </w:p>
    <w:p>
      <w:r>
        <w:t>L'intimée ne conteste pas le montant garanti par la cédule précitée, lequel ressort des documents contractuels signés par les parties, en particulier de la lettre d'intention et de la convention de sûretés.</w:t>
      </w:r>
    </w:p>
    <w:p>
      <w:r>
        <w:t>L'intimée conteste l'exigibilité de la créance cédulaire au jour de la réquisition de poursuite, soutenant, d'une part, que les parties sont toujours en pourparlers transactionnels, et, d'autre part, que la créance causale n'a pas été valablement dénoncée.</w:t>
      </w:r>
    </w:p>
    <w:p>
      <w:r>
        <w:t>Il résulte de la lettre d'intention conclue par les parties le 26 février 2016, que la recourante a prêté à l'intimé un montant de 200'000 fr., sans intérêts, les parties étant en discussion concernant l'achat des actions de C______ SA. Elles sont convenues de ce qu'en l'absence d'accord au 30 septembre 2016, le prêt devait être restitué dans les trente jours dès l'échéance de celui-ci et, en l'absence de paiement dans ce délai, celui-ci porterait intérêt moratoire à 5% l'an. Aux fins de garantir la somme de 200'000 fr., la cédule hypothécaire en cause a été émise. Les discussions étant toujours en cours, les parties sont convenues, le 17 novembre 2016, de repousser l'échéance du prêt au 30 avril 2017. Une pénalité a également été prévue pour le cas où un accord ne serait pas conclu en raison d'un motif non justifié imputable à la recourante.</w:t>
      </w:r>
    </w:p>
    <w:p>
      <w:r>
        <w:t>Il s'ensuit que les parties sont convenues de ce que la dette, soit la créance causale, serait exigible trente jours suivant l'absence d'accord, soit au 30 mai 2017. Il n'est par ailleurs pas allégué, à bon droit, qu'une modification de la convention de sûretés serait intervenue.</w:t>
      </w:r>
    </w:p>
    <w:p>
      <w:r>
        <w:t>- 12/13 -</w:t>
      </w:r>
    </w:p>
    <w:p>
      <w:r>
        <w:t>C/3712/2018</w:t>
      </w:r>
    </w:p>
    <w:p>
      <w:r>
        <w:t>Contrairement à ce qu'allègue l'intimée, l'existence de pourparlers au-delà du terme convenu et durant la présente procédure ne fait pas obstacle à l'exigibilité de la créance, les parties n'ayant pas conclu de nouvel avenant en ce sens.</w:t>
      </w:r>
    </w:p>
    <w:p>
      <w:r>
        <w:t>Même à suivre la thèse de l'intimée selon laquelle la créance devait être dénoncée, pour la fin d'un mois, moyennant un préavis de six mois, la créance était exigible au jour de la réquisition de poursuite le 7 décembre 2017. En effet, l'absence de remboursement de la créance au terme convenu, soit au 30 avril 2017, constitue un cas de réalisation au sens de l'art. 5.1 de la convention du 4 mars 2016.</w:t>
      </w:r>
    </w:p>
    <w:p>
      <w:r>
        <w:t>Il s'ensuit que la cédule hypothécaire représente un titre de mainlevée, au sens de l'art. 82 LP.</w:t>
      </w:r>
    </w:p>
    <w:p>
      <w:r>
        <w:t>Le jugement entrepris sera par conséquent annulé.</w:t>
      </w:r>
    </w:p>
    <w:p>
      <w:r>
        <w:t>La mainlevée provisoire de l'opposition formée au commandement de payer sera par conséquent prononcée à hauteur de 200'000 fr.</w:t>
      </w:r>
    </w:p>
    <w:p>
      <w:r>
        <w:t>S'agissant des intérêts, conformément à la convention des parties ceux-ci sont dus dès le 30 juin 2017 (trente jours après l'absence de paiement au 30 mai 2017).</w:t>
      </w:r>
    </w:p>
    <w:p>
      <w:r>
        <w:t>Il sera statué à nouveau (art. 327 al. 3 let. b CPC) dans le sens qui précède.</w:t>
      </w:r>
    </w:p>
    <w:p>
      <w:r>
        <w:rPr>
          <w:b/>
        </w:rPr>
        <w:t>E. 5</w:t>
      </w:r>
    </w:p>
    <w:p>
      <w:r>
        <w:t>L'intimée, qui succombe, supportera les frais des deux instances (art. 106 al. 1 CPC) arrêtés à 1'875 fr. (art. 48 et 61 OELP) couverts par les avances déjà opérées, acquises à l'Etat de Genève (art. 111 al. 1 CPC). Elle sera en conséquence condamnée à les verser à la recourante (art. 111 al. 2 CPC).</w:t>
      </w:r>
    </w:p>
    <w:p>
      <w:r>
        <w:t>L'intimée sera en outre condamnée à verser à la recourante 3'000 fr. à titre de dépens de première instance et de recours, débours et TVA inclus (art. 84, 85, 89, 90 RTFMC; art. 25 et 26 LaCC). * * * * *</w:t>
      </w:r>
    </w:p>
    <w:p>
      <w:r>
        <w:t>- 13/13 -</w:t>
      </w:r>
    </w:p>
    <w:p>
      <w:r>
        <w:t>C/3712/2018 PAR CES MOTIFS, La Chambre civile : A la forme : Déclare recevable le recours interjeté le 1er octobre 2018 par A______ SA contre le jugement JTPI/14013/2018 rendu le 17 septembre 2018 par le Tribunal de première instance dans la cause C/3712/2018-9 SML. Au fond : Annule ce jugement. Cela fait et statuant à nouveau : Prononce la mainlevée provisoire de l'opposition formée au commandement de payer, poursuite n° 1______, à concurrence de 200'000 fr., avec intérêts à 5% dès le 30 juin 2017. Déboute les parties de toutes autres conclusions. Sur les frais : Arrête les frais judiciaires de première instance et de recours à 1'875 fr., couverts par les avances versées, acquises à l'Etat de Genève, et les met à la charge de C______ SA. Condamne en conséquence C______ SA à verser 1'875 fr. à A______ SA à ce titre. Condamne C______ SA à verser à A______ SA, à titre de dépens de première instance et de recours, la somme de 3'000 fr.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